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jc w:val="center"/>
        <w:tblLayout w:type="fixed"/>
        <w:tblCellMar>
          <w:top w:w="0" w:type="dxa"/>
          <w:left w:w="0" w:type="dxa"/>
          <w:bottom w:w="0" w:type="dxa"/>
          <w:right w:w="0" w:type="dxa"/>
        </w:tblCellMar>
      </w:tblPr>
      <w:tblGrid>
        <w:gridCol w:w="765"/>
        <w:gridCol w:w="1228"/>
        <w:gridCol w:w="1206"/>
        <w:gridCol w:w="1298"/>
        <w:gridCol w:w="1363"/>
        <w:gridCol w:w="2112"/>
        <w:gridCol w:w="1642"/>
        <w:gridCol w:w="1524"/>
        <w:gridCol w:w="1066"/>
        <w:gridCol w:w="1066"/>
        <w:gridCol w:w="1520"/>
      </w:tblGrid>
      <w:tr>
        <w:tblPrEx>
          <w:tblCellMar>
            <w:top w:w="0" w:type="dxa"/>
            <w:left w:w="0" w:type="dxa"/>
            <w:bottom w:w="0" w:type="dxa"/>
            <w:right w:w="0" w:type="dxa"/>
          </w:tblCellMar>
        </w:tblPrEx>
        <w:trPr>
          <w:trHeight w:val="600" w:hRule="atLeast"/>
          <w:jc w:val="center"/>
        </w:trPr>
        <w:tc>
          <w:tcPr>
            <w:tcW w:w="1993" w:type="dxa"/>
            <w:gridSpan w:val="2"/>
            <w:tcBorders>
              <w:top w:val="nil"/>
              <w:left w:val="nil"/>
              <w:bottom w:val="nil"/>
              <w:right w:val="nil"/>
            </w:tcBorders>
            <w:noWrap w:val="0"/>
            <w:tcMar>
              <w:top w:w="15" w:type="dxa"/>
              <w:left w:w="15" w:type="dxa"/>
              <w:right w:w="15" w:type="dxa"/>
            </w:tcMar>
            <w:vAlign w:val="bottom"/>
          </w:tcPr>
          <w:p>
            <w:pPr>
              <w:widowControl/>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lang w:bidi="ar"/>
              </w:rPr>
              <w:t>附件2</w:t>
            </w:r>
          </w:p>
        </w:tc>
        <w:tc>
          <w:tcPr>
            <w:tcW w:w="1206" w:type="dxa"/>
            <w:tcBorders>
              <w:top w:val="nil"/>
              <w:left w:val="nil"/>
              <w:bottom w:val="nil"/>
              <w:right w:val="nil"/>
            </w:tcBorders>
            <w:noWrap w:val="0"/>
            <w:tcMar>
              <w:top w:w="15" w:type="dxa"/>
              <w:left w:w="15" w:type="dxa"/>
              <w:right w:w="15" w:type="dxa"/>
            </w:tcMar>
            <w:vAlign w:val="bottom"/>
          </w:tcPr>
          <w:p>
            <w:pPr>
              <w:rPr>
                <w:rFonts w:hint="eastAsia" w:ascii="等线" w:hAnsi="等线" w:eastAsia="等线" w:cs="等线"/>
                <w:color w:val="000000"/>
                <w:sz w:val="22"/>
                <w:szCs w:val="22"/>
              </w:rPr>
            </w:pPr>
          </w:p>
        </w:tc>
        <w:tc>
          <w:tcPr>
            <w:tcW w:w="1298" w:type="dxa"/>
            <w:tcBorders>
              <w:top w:val="nil"/>
              <w:left w:val="nil"/>
              <w:bottom w:val="nil"/>
              <w:right w:val="nil"/>
            </w:tcBorders>
            <w:noWrap w:val="0"/>
            <w:tcMar>
              <w:top w:w="15" w:type="dxa"/>
              <w:left w:w="15" w:type="dxa"/>
              <w:right w:w="15" w:type="dxa"/>
            </w:tcMar>
            <w:vAlign w:val="bottom"/>
          </w:tcPr>
          <w:p>
            <w:pPr>
              <w:rPr>
                <w:rFonts w:hint="eastAsia" w:ascii="等线" w:hAnsi="等线" w:eastAsia="等线" w:cs="等线"/>
                <w:color w:val="000000"/>
                <w:sz w:val="22"/>
                <w:szCs w:val="22"/>
              </w:rPr>
            </w:pPr>
          </w:p>
        </w:tc>
        <w:tc>
          <w:tcPr>
            <w:tcW w:w="1363" w:type="dxa"/>
            <w:tcBorders>
              <w:top w:val="nil"/>
              <w:left w:val="nil"/>
              <w:bottom w:val="nil"/>
              <w:right w:val="nil"/>
            </w:tcBorders>
            <w:noWrap w:val="0"/>
            <w:tcMar>
              <w:top w:w="15" w:type="dxa"/>
              <w:left w:w="15" w:type="dxa"/>
              <w:right w:w="15" w:type="dxa"/>
            </w:tcMar>
            <w:vAlign w:val="bottom"/>
          </w:tcPr>
          <w:p>
            <w:pPr>
              <w:rPr>
                <w:rFonts w:hint="eastAsia" w:ascii="等线" w:hAnsi="等线" w:eastAsia="等线" w:cs="等线"/>
                <w:color w:val="000000"/>
                <w:sz w:val="22"/>
                <w:szCs w:val="22"/>
              </w:rPr>
            </w:pPr>
          </w:p>
        </w:tc>
        <w:tc>
          <w:tcPr>
            <w:tcW w:w="2112" w:type="dxa"/>
            <w:tcBorders>
              <w:top w:val="nil"/>
              <w:left w:val="nil"/>
              <w:bottom w:val="nil"/>
              <w:right w:val="nil"/>
            </w:tcBorders>
            <w:noWrap w:val="0"/>
            <w:tcMar>
              <w:top w:w="15" w:type="dxa"/>
              <w:left w:w="15" w:type="dxa"/>
              <w:right w:w="15" w:type="dxa"/>
            </w:tcMar>
            <w:vAlign w:val="bottom"/>
          </w:tcPr>
          <w:p>
            <w:pPr>
              <w:rPr>
                <w:rFonts w:hint="eastAsia" w:ascii="等线" w:hAnsi="等线" w:eastAsia="等线" w:cs="等线"/>
                <w:color w:val="000000"/>
                <w:sz w:val="22"/>
                <w:szCs w:val="22"/>
              </w:rPr>
            </w:pPr>
          </w:p>
        </w:tc>
        <w:tc>
          <w:tcPr>
            <w:tcW w:w="1642" w:type="dxa"/>
            <w:tcBorders>
              <w:top w:val="nil"/>
              <w:left w:val="nil"/>
              <w:bottom w:val="nil"/>
              <w:right w:val="nil"/>
            </w:tcBorders>
            <w:noWrap w:val="0"/>
            <w:tcMar>
              <w:top w:w="15" w:type="dxa"/>
              <w:left w:w="15" w:type="dxa"/>
              <w:right w:w="15" w:type="dxa"/>
            </w:tcMar>
            <w:vAlign w:val="bottom"/>
          </w:tcPr>
          <w:p>
            <w:pPr>
              <w:rPr>
                <w:rFonts w:hint="eastAsia" w:ascii="等线" w:hAnsi="等线" w:eastAsia="等线" w:cs="等线"/>
                <w:color w:val="000000"/>
                <w:sz w:val="22"/>
                <w:szCs w:val="22"/>
              </w:rPr>
            </w:pPr>
          </w:p>
        </w:tc>
        <w:tc>
          <w:tcPr>
            <w:tcW w:w="1524" w:type="dxa"/>
            <w:tcBorders>
              <w:top w:val="nil"/>
              <w:left w:val="nil"/>
              <w:bottom w:val="nil"/>
              <w:right w:val="nil"/>
            </w:tcBorders>
            <w:noWrap w:val="0"/>
            <w:tcMar>
              <w:top w:w="15" w:type="dxa"/>
              <w:left w:w="15" w:type="dxa"/>
              <w:right w:w="15" w:type="dxa"/>
            </w:tcMar>
            <w:vAlign w:val="bottom"/>
          </w:tcPr>
          <w:p>
            <w:pPr>
              <w:rPr>
                <w:rFonts w:hint="eastAsia" w:ascii="等线" w:hAnsi="等线" w:eastAsia="等线" w:cs="等线"/>
                <w:color w:val="000000"/>
                <w:sz w:val="22"/>
                <w:szCs w:val="22"/>
              </w:rPr>
            </w:pPr>
          </w:p>
        </w:tc>
        <w:tc>
          <w:tcPr>
            <w:tcW w:w="1066" w:type="dxa"/>
            <w:tcBorders>
              <w:top w:val="nil"/>
              <w:left w:val="nil"/>
              <w:bottom w:val="nil"/>
              <w:right w:val="nil"/>
            </w:tcBorders>
            <w:noWrap w:val="0"/>
            <w:tcMar>
              <w:top w:w="15" w:type="dxa"/>
              <w:left w:w="15" w:type="dxa"/>
              <w:right w:w="15" w:type="dxa"/>
            </w:tcMar>
            <w:vAlign w:val="bottom"/>
          </w:tcPr>
          <w:p>
            <w:pPr>
              <w:rPr>
                <w:rFonts w:hint="eastAsia" w:ascii="等线" w:hAnsi="等线" w:eastAsia="等线" w:cs="等线"/>
                <w:color w:val="000000"/>
                <w:sz w:val="22"/>
                <w:szCs w:val="22"/>
              </w:rPr>
            </w:pPr>
          </w:p>
        </w:tc>
        <w:tc>
          <w:tcPr>
            <w:tcW w:w="1066" w:type="dxa"/>
            <w:tcBorders>
              <w:top w:val="nil"/>
              <w:left w:val="nil"/>
              <w:bottom w:val="nil"/>
              <w:right w:val="nil"/>
            </w:tcBorders>
            <w:noWrap w:val="0"/>
            <w:tcMar>
              <w:top w:w="15" w:type="dxa"/>
              <w:left w:w="15" w:type="dxa"/>
              <w:right w:w="15" w:type="dxa"/>
            </w:tcMar>
            <w:vAlign w:val="bottom"/>
          </w:tcPr>
          <w:p>
            <w:pPr>
              <w:rPr>
                <w:rFonts w:hint="eastAsia" w:ascii="等线" w:hAnsi="等线" w:eastAsia="等线" w:cs="等线"/>
                <w:color w:val="000000"/>
                <w:sz w:val="22"/>
                <w:szCs w:val="22"/>
              </w:rPr>
            </w:pPr>
          </w:p>
        </w:tc>
        <w:tc>
          <w:tcPr>
            <w:tcW w:w="1520" w:type="dxa"/>
            <w:tcBorders>
              <w:top w:val="nil"/>
              <w:left w:val="nil"/>
              <w:bottom w:val="nil"/>
              <w:right w:val="nil"/>
            </w:tcBorders>
            <w:noWrap w:val="0"/>
            <w:tcMar>
              <w:top w:w="15" w:type="dxa"/>
              <w:left w:w="15" w:type="dxa"/>
              <w:right w:w="15" w:type="dxa"/>
            </w:tcMar>
            <w:vAlign w:val="bottom"/>
          </w:tcPr>
          <w:p>
            <w:pPr>
              <w:jc w:val="center"/>
              <w:rPr>
                <w:rFonts w:hint="eastAsia" w:ascii="等线" w:hAnsi="等线" w:eastAsia="等线" w:cs="等线"/>
                <w:color w:val="000000"/>
                <w:sz w:val="22"/>
                <w:szCs w:val="22"/>
              </w:rPr>
            </w:pPr>
          </w:p>
        </w:tc>
      </w:tr>
      <w:tr>
        <w:tblPrEx>
          <w:tblCellMar>
            <w:top w:w="0" w:type="dxa"/>
            <w:left w:w="0" w:type="dxa"/>
            <w:bottom w:w="0" w:type="dxa"/>
            <w:right w:w="0" w:type="dxa"/>
          </w:tblCellMar>
        </w:tblPrEx>
        <w:trPr>
          <w:trHeight w:val="840" w:hRule="atLeast"/>
          <w:jc w:val="center"/>
        </w:trPr>
        <w:tc>
          <w:tcPr>
            <w:tcW w:w="14790" w:type="dxa"/>
            <w:gridSpan w:val="11"/>
            <w:tcBorders>
              <w:top w:val="nil"/>
              <w:left w:val="nil"/>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方正小标宋_GBK" w:hAnsi="方正小标宋简体" w:eastAsia="方正小标宋_GBK" w:cs="方正小标宋简体"/>
                <w:color w:val="000000"/>
                <w:sz w:val="44"/>
                <w:szCs w:val="44"/>
              </w:rPr>
            </w:pPr>
            <w:bookmarkStart w:id="0" w:name="_GoBack"/>
            <w:r>
              <w:rPr>
                <w:rFonts w:hint="eastAsia" w:ascii="方正小标宋_GBK" w:hAnsi="方正小标宋简体" w:eastAsia="方正小标宋_GBK" w:cs="方正小标宋简体"/>
                <w:color w:val="000000"/>
                <w:kern w:val="0"/>
                <w:sz w:val="44"/>
                <w:szCs w:val="44"/>
                <w:lang w:bidi="ar"/>
              </w:rPr>
              <w:t>山东省“两高”行业能效改造提升标准（2023年版）</w:t>
            </w:r>
            <w:bookmarkEnd w:id="0"/>
          </w:p>
        </w:tc>
      </w:tr>
      <w:tr>
        <w:tblPrEx>
          <w:tblCellMar>
            <w:top w:w="0" w:type="dxa"/>
            <w:left w:w="0" w:type="dxa"/>
            <w:bottom w:w="0" w:type="dxa"/>
            <w:right w:w="0" w:type="dxa"/>
          </w:tblCellMar>
        </w:tblPrEx>
        <w:trPr>
          <w:trHeight w:val="514" w:hRule="atLeast"/>
          <w:jc w:val="center"/>
        </w:trPr>
        <w:tc>
          <w:tcPr>
            <w:tcW w:w="7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序号</w:t>
            </w:r>
          </w:p>
        </w:tc>
        <w:tc>
          <w:tcPr>
            <w:tcW w:w="373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国民经济行业分类及代码</w:t>
            </w:r>
          </w:p>
        </w:tc>
        <w:tc>
          <w:tcPr>
            <w:tcW w:w="3475"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重点领域</w:t>
            </w:r>
          </w:p>
        </w:tc>
        <w:tc>
          <w:tcPr>
            <w:tcW w:w="16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指标名称</w:t>
            </w:r>
          </w:p>
        </w:tc>
        <w:tc>
          <w:tcPr>
            <w:tcW w:w="15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指标单位</w:t>
            </w:r>
          </w:p>
        </w:tc>
        <w:tc>
          <w:tcPr>
            <w:tcW w:w="106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标杆</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水平</w:t>
            </w:r>
          </w:p>
        </w:tc>
        <w:tc>
          <w:tcPr>
            <w:tcW w:w="106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基准</w:t>
            </w:r>
            <w:r>
              <w:rPr>
                <w:rFonts w:hint="eastAsia" w:ascii="黑体" w:hAnsi="宋体" w:eastAsia="黑体" w:cs="黑体"/>
                <w:color w:val="000000"/>
                <w:kern w:val="0"/>
                <w:sz w:val="20"/>
                <w:szCs w:val="20"/>
                <w:lang w:bidi="ar"/>
              </w:rPr>
              <w:br w:type="textWrapping"/>
            </w:r>
            <w:r>
              <w:rPr>
                <w:rFonts w:hint="eastAsia" w:ascii="黑体" w:hAnsi="宋体" w:eastAsia="黑体" w:cs="黑体"/>
                <w:color w:val="000000"/>
                <w:kern w:val="0"/>
                <w:sz w:val="20"/>
                <w:szCs w:val="20"/>
                <w:lang w:bidi="ar"/>
              </w:rPr>
              <w:t>水平</w:t>
            </w:r>
          </w:p>
        </w:tc>
        <w:tc>
          <w:tcPr>
            <w:tcW w:w="1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参考标准</w:t>
            </w:r>
          </w:p>
        </w:tc>
      </w:tr>
      <w:tr>
        <w:tblPrEx>
          <w:tblCellMar>
            <w:top w:w="0" w:type="dxa"/>
            <w:left w:w="0" w:type="dxa"/>
            <w:bottom w:w="0" w:type="dxa"/>
            <w:right w:w="0" w:type="dxa"/>
          </w:tblCellMar>
        </w:tblPrEx>
        <w:trPr>
          <w:trHeight w:val="535"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color w:val="000000"/>
                <w:sz w:val="20"/>
                <w:szCs w:val="20"/>
              </w:rPr>
            </w:pPr>
          </w:p>
        </w:tc>
        <w:tc>
          <w:tcPr>
            <w:tcW w:w="12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项目大类</w:t>
            </w:r>
          </w:p>
        </w:tc>
        <w:tc>
          <w:tcPr>
            <w:tcW w:w="1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中类</w:t>
            </w:r>
          </w:p>
        </w:tc>
        <w:tc>
          <w:tcPr>
            <w:tcW w:w="12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小类</w:t>
            </w:r>
          </w:p>
        </w:tc>
        <w:tc>
          <w:tcPr>
            <w:tcW w:w="3475"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color w:val="000000"/>
                <w:sz w:val="20"/>
                <w:szCs w:val="20"/>
              </w:rPr>
            </w:pP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color w:val="000000"/>
                <w:sz w:val="20"/>
                <w:szCs w:val="20"/>
              </w:rPr>
            </w:pPr>
          </w:p>
        </w:tc>
        <w:tc>
          <w:tcPr>
            <w:tcW w:w="106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color w:val="000000"/>
                <w:sz w:val="20"/>
                <w:szCs w:val="20"/>
              </w:rPr>
            </w:pPr>
          </w:p>
        </w:tc>
        <w:tc>
          <w:tcPr>
            <w:tcW w:w="106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color w:val="000000"/>
                <w:sz w:val="20"/>
                <w:szCs w:val="20"/>
              </w:rPr>
            </w:pP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黑体" w:hAnsi="宋体" w:eastAsia="黑体" w:cs="黑体"/>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1</w:t>
            </w:r>
          </w:p>
        </w:tc>
        <w:tc>
          <w:tcPr>
            <w:tcW w:w="122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石油、煤炭及其他燃料加加工业（25）</w:t>
            </w:r>
          </w:p>
        </w:tc>
        <w:tc>
          <w:tcPr>
            <w:tcW w:w="12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精炼石油产品制造（251）</w:t>
            </w:r>
          </w:p>
        </w:tc>
        <w:tc>
          <w:tcPr>
            <w:tcW w:w="12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原油加工及石油制品制造（2511）</w:t>
            </w:r>
          </w:p>
        </w:tc>
        <w:tc>
          <w:tcPr>
            <w:tcW w:w="34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炼油</w:t>
            </w:r>
          </w:p>
        </w:tc>
        <w:tc>
          <w:tcPr>
            <w:tcW w:w="1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单位能量因数综合能耗</w:t>
            </w:r>
          </w:p>
        </w:tc>
        <w:tc>
          <w:tcPr>
            <w:tcW w:w="1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千克标准油/吨·能量因数</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7.5</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8 </w:t>
            </w:r>
          </w:p>
        </w:tc>
        <w:tc>
          <w:tcPr>
            <w:tcW w:w="1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GB 30251</w:t>
            </w: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34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乙烯</w:t>
            </w:r>
          </w:p>
        </w:tc>
        <w:tc>
          <w:tcPr>
            <w:tcW w:w="1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单位产品能耗</w:t>
            </w:r>
          </w:p>
        </w:tc>
        <w:tc>
          <w:tcPr>
            <w:tcW w:w="1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千克标准油/吨</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590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615 </w:t>
            </w:r>
          </w:p>
        </w:tc>
        <w:tc>
          <w:tcPr>
            <w:tcW w:w="1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GB 30250</w:t>
            </w: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34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PX</w:t>
            </w:r>
          </w:p>
        </w:tc>
        <w:tc>
          <w:tcPr>
            <w:tcW w:w="1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单位产品能耗</w:t>
            </w:r>
          </w:p>
        </w:tc>
        <w:tc>
          <w:tcPr>
            <w:tcW w:w="1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千克标准油/吨</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380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465 </w:t>
            </w:r>
          </w:p>
        </w:tc>
        <w:tc>
          <w:tcPr>
            <w:tcW w:w="1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GB 31534</w:t>
            </w: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煤炭加工（252）</w:t>
            </w:r>
          </w:p>
        </w:tc>
        <w:tc>
          <w:tcPr>
            <w:tcW w:w="12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炼焦（2521）</w:t>
            </w:r>
          </w:p>
        </w:tc>
        <w:tc>
          <w:tcPr>
            <w:tcW w:w="13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煤制焦炭</w:t>
            </w: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顶装焦炉</w:t>
            </w:r>
          </w:p>
        </w:tc>
        <w:tc>
          <w:tcPr>
            <w:tcW w:w="16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单位产品能耗</w:t>
            </w:r>
          </w:p>
        </w:tc>
        <w:tc>
          <w:tcPr>
            <w:tcW w:w="15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千克标准煤/吨</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110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123 </w:t>
            </w:r>
          </w:p>
        </w:tc>
        <w:tc>
          <w:tcPr>
            <w:tcW w:w="1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GB 21342</w:t>
            </w: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捣固焦炉</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110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125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煤制液体燃料生产（2523）</w:t>
            </w:r>
          </w:p>
        </w:tc>
        <w:tc>
          <w:tcPr>
            <w:tcW w:w="13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煤制甲醇</w:t>
            </w: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褐煤</w:t>
            </w:r>
          </w:p>
        </w:tc>
        <w:tc>
          <w:tcPr>
            <w:tcW w:w="16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单位产品</w:t>
            </w:r>
            <w:r>
              <w:rPr>
                <w:rFonts w:hint="eastAsia" w:ascii="仿宋_GB2312" w:hAnsi="等线" w:eastAsia="仿宋_GB2312" w:cs="仿宋_GB2312"/>
                <w:color w:val="000000"/>
                <w:kern w:val="0"/>
                <w:sz w:val="20"/>
                <w:szCs w:val="20"/>
                <w:lang w:bidi="ar"/>
              </w:rPr>
              <w:br w:type="textWrapping"/>
            </w:r>
            <w:r>
              <w:rPr>
                <w:rFonts w:hint="eastAsia" w:ascii="仿宋_GB2312" w:hAnsi="等线" w:eastAsia="仿宋_GB2312" w:cs="仿宋_GB2312"/>
                <w:color w:val="000000"/>
                <w:kern w:val="0"/>
                <w:sz w:val="20"/>
                <w:szCs w:val="20"/>
                <w:lang w:bidi="ar"/>
              </w:rPr>
              <w:t>综合能耗</w:t>
            </w:r>
          </w:p>
        </w:tc>
        <w:tc>
          <w:tcPr>
            <w:tcW w:w="15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千克标准煤/吨</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1550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1775 </w:t>
            </w:r>
          </w:p>
        </w:tc>
        <w:tc>
          <w:tcPr>
            <w:tcW w:w="1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GB 29436</w:t>
            </w: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烟煤</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1400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1600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无烟煤</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1250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1425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煤制乙二醇</w:t>
            </w: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合成气法</w:t>
            </w:r>
          </w:p>
        </w:tc>
        <w:tc>
          <w:tcPr>
            <w:tcW w:w="1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单位产品</w:t>
            </w:r>
            <w:r>
              <w:rPr>
                <w:rFonts w:hint="eastAsia" w:ascii="仿宋_GB2312" w:hAnsi="等线" w:eastAsia="仿宋_GB2312" w:cs="仿宋_GB2312"/>
                <w:color w:val="000000"/>
                <w:kern w:val="0"/>
                <w:sz w:val="20"/>
                <w:szCs w:val="20"/>
                <w:lang w:bidi="ar"/>
              </w:rPr>
              <w:br w:type="textWrapping"/>
            </w:r>
            <w:r>
              <w:rPr>
                <w:rFonts w:hint="eastAsia" w:ascii="仿宋_GB2312" w:hAnsi="等线" w:eastAsia="仿宋_GB2312" w:cs="仿宋_GB2312"/>
                <w:color w:val="000000"/>
                <w:kern w:val="0"/>
                <w:sz w:val="20"/>
                <w:szCs w:val="20"/>
                <w:lang w:bidi="ar"/>
              </w:rPr>
              <w:t>综合能耗</w:t>
            </w:r>
          </w:p>
        </w:tc>
        <w:tc>
          <w:tcPr>
            <w:tcW w:w="1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千克标准煤/吨</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1000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1175 </w:t>
            </w:r>
          </w:p>
        </w:tc>
        <w:tc>
          <w:tcPr>
            <w:tcW w:w="1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GB 32048</w:t>
            </w:r>
          </w:p>
        </w:tc>
      </w:tr>
      <w:tr>
        <w:tblPrEx>
          <w:tblCellMar>
            <w:top w:w="0" w:type="dxa"/>
            <w:left w:w="0" w:type="dxa"/>
            <w:bottom w:w="0" w:type="dxa"/>
            <w:right w:w="0" w:type="dxa"/>
          </w:tblCellMar>
        </w:tblPrEx>
        <w:trPr>
          <w:trHeight w:val="600" w:hRule="atLeast"/>
          <w:jc w:val="center"/>
        </w:trPr>
        <w:tc>
          <w:tcPr>
            <w:tcW w:w="7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2</w:t>
            </w:r>
          </w:p>
        </w:tc>
        <w:tc>
          <w:tcPr>
            <w:tcW w:w="122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化学原料和化学品制造业（26）</w:t>
            </w:r>
          </w:p>
        </w:tc>
        <w:tc>
          <w:tcPr>
            <w:tcW w:w="12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基础化学原料制造（261）</w:t>
            </w:r>
          </w:p>
        </w:tc>
        <w:tc>
          <w:tcPr>
            <w:tcW w:w="12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无机碱制造（2612）</w:t>
            </w:r>
          </w:p>
        </w:tc>
        <w:tc>
          <w:tcPr>
            <w:tcW w:w="13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烧碱</w:t>
            </w: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离子膜法液碱（质量分数，下同）≥30%</w:t>
            </w:r>
          </w:p>
        </w:tc>
        <w:tc>
          <w:tcPr>
            <w:tcW w:w="16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单位产品</w:t>
            </w:r>
            <w:r>
              <w:rPr>
                <w:rFonts w:hint="eastAsia" w:ascii="仿宋_GB2312" w:hAnsi="等线" w:eastAsia="仿宋_GB2312" w:cs="仿宋_GB2312"/>
                <w:color w:val="000000"/>
                <w:kern w:val="0"/>
                <w:sz w:val="20"/>
                <w:szCs w:val="20"/>
                <w:lang w:bidi="ar"/>
              </w:rPr>
              <w:br w:type="textWrapping"/>
            </w:r>
            <w:r>
              <w:rPr>
                <w:rFonts w:hint="eastAsia" w:ascii="仿宋_GB2312" w:hAnsi="等线" w:eastAsia="仿宋_GB2312" w:cs="仿宋_GB2312"/>
                <w:color w:val="000000"/>
                <w:kern w:val="0"/>
                <w:sz w:val="20"/>
                <w:szCs w:val="20"/>
                <w:lang w:bidi="ar"/>
              </w:rPr>
              <w:t>综合能耗</w:t>
            </w:r>
          </w:p>
        </w:tc>
        <w:tc>
          <w:tcPr>
            <w:tcW w:w="15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千克标准煤/吨</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315</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333 </w:t>
            </w:r>
          </w:p>
        </w:tc>
        <w:tc>
          <w:tcPr>
            <w:tcW w:w="1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GB 21257</w:t>
            </w: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离子膜法液碱≥45%</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420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445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离子膜法液碱≥98%</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620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653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489"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纯碱</w:t>
            </w: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氨碱法（轻质）</w:t>
            </w:r>
          </w:p>
        </w:tc>
        <w:tc>
          <w:tcPr>
            <w:tcW w:w="16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单位产品能耗</w:t>
            </w:r>
          </w:p>
        </w:tc>
        <w:tc>
          <w:tcPr>
            <w:tcW w:w="15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千克标准煤/吨</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320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345 </w:t>
            </w:r>
          </w:p>
        </w:tc>
        <w:tc>
          <w:tcPr>
            <w:tcW w:w="1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GB 29140</w:t>
            </w:r>
          </w:p>
        </w:tc>
      </w:tr>
      <w:tr>
        <w:tblPrEx>
          <w:tblCellMar>
            <w:top w:w="0" w:type="dxa"/>
            <w:left w:w="0" w:type="dxa"/>
            <w:bottom w:w="0" w:type="dxa"/>
            <w:right w:w="0" w:type="dxa"/>
          </w:tblCellMar>
        </w:tblPrEx>
        <w:trPr>
          <w:trHeight w:val="539"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联碱法（轻质）</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160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203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547"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氨碱法（重质）</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390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405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联碱法（重质）</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210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253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无机盐制造（2613）</w:t>
            </w:r>
          </w:p>
        </w:tc>
        <w:tc>
          <w:tcPr>
            <w:tcW w:w="34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电石</w:t>
            </w:r>
          </w:p>
        </w:tc>
        <w:tc>
          <w:tcPr>
            <w:tcW w:w="1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单位产品</w:t>
            </w:r>
            <w:r>
              <w:rPr>
                <w:rFonts w:hint="eastAsia" w:ascii="仿宋_GB2312" w:hAnsi="等线" w:eastAsia="仿宋_GB2312" w:cs="仿宋_GB2312"/>
                <w:color w:val="000000"/>
                <w:kern w:val="0"/>
                <w:sz w:val="20"/>
                <w:szCs w:val="20"/>
                <w:lang w:bidi="ar"/>
              </w:rPr>
              <w:br w:type="textWrapping"/>
            </w:r>
            <w:r>
              <w:rPr>
                <w:rFonts w:hint="eastAsia" w:ascii="仿宋_GB2312" w:hAnsi="等线" w:eastAsia="仿宋_GB2312" w:cs="仿宋_GB2312"/>
                <w:color w:val="000000"/>
                <w:kern w:val="0"/>
                <w:sz w:val="20"/>
                <w:szCs w:val="20"/>
                <w:lang w:bidi="ar"/>
              </w:rPr>
              <w:t>综合能耗</w:t>
            </w:r>
          </w:p>
        </w:tc>
        <w:tc>
          <w:tcPr>
            <w:tcW w:w="1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千克标准煤/吨</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805</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873 </w:t>
            </w:r>
          </w:p>
        </w:tc>
        <w:tc>
          <w:tcPr>
            <w:tcW w:w="1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GB 21343</w:t>
            </w: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有机化学原料制造（2614）</w:t>
            </w:r>
          </w:p>
        </w:tc>
        <w:tc>
          <w:tcPr>
            <w:tcW w:w="13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醋酸</w:t>
            </w: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羰基法</w:t>
            </w:r>
          </w:p>
        </w:tc>
        <w:tc>
          <w:tcPr>
            <w:tcW w:w="16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单位产品能耗</w:t>
            </w:r>
          </w:p>
        </w:tc>
        <w:tc>
          <w:tcPr>
            <w:tcW w:w="15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千克标准煤/吨</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106</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115 </w:t>
            </w:r>
          </w:p>
        </w:tc>
        <w:tc>
          <w:tcPr>
            <w:tcW w:w="1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GB 29437</w:t>
            </w: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酒精法（空气氧化乙醛）</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400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409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酒精法（氧气氧化乙醛）</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410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420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乙烯法</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280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290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肥料制造（262）</w:t>
            </w:r>
          </w:p>
        </w:tc>
        <w:tc>
          <w:tcPr>
            <w:tcW w:w="12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氮肥制造（2621）</w:t>
            </w:r>
          </w:p>
        </w:tc>
        <w:tc>
          <w:tcPr>
            <w:tcW w:w="13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合成氨</w:t>
            </w: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优质无烟块煤</w:t>
            </w:r>
          </w:p>
        </w:tc>
        <w:tc>
          <w:tcPr>
            <w:tcW w:w="16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单位产品</w:t>
            </w:r>
            <w:r>
              <w:rPr>
                <w:rFonts w:hint="eastAsia" w:ascii="仿宋_GB2312" w:hAnsi="等线" w:eastAsia="仿宋_GB2312" w:cs="仿宋_GB2312"/>
                <w:color w:val="000000"/>
                <w:kern w:val="0"/>
                <w:sz w:val="20"/>
                <w:szCs w:val="20"/>
                <w:lang w:bidi="ar"/>
              </w:rPr>
              <w:br w:type="textWrapping"/>
            </w:r>
            <w:r>
              <w:rPr>
                <w:rFonts w:hint="eastAsia" w:ascii="仿宋_GB2312" w:hAnsi="等线" w:eastAsia="仿宋_GB2312" w:cs="仿宋_GB2312"/>
                <w:color w:val="000000"/>
                <w:kern w:val="0"/>
                <w:sz w:val="20"/>
                <w:szCs w:val="20"/>
                <w:lang w:bidi="ar"/>
              </w:rPr>
              <w:t>综合能耗</w:t>
            </w:r>
          </w:p>
        </w:tc>
        <w:tc>
          <w:tcPr>
            <w:tcW w:w="15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千克标准煤/吨</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1100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1225 </w:t>
            </w:r>
          </w:p>
        </w:tc>
        <w:tc>
          <w:tcPr>
            <w:tcW w:w="1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GB 21344</w:t>
            </w: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非优质无烟块煤、型煤</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1200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1360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粉煤（包括无烟粉煤、烟煤）</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1350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1450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天然气</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1000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1100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磷肥制造（2622）</w:t>
            </w:r>
          </w:p>
        </w:tc>
        <w:tc>
          <w:tcPr>
            <w:tcW w:w="13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磷酸一铵</w:t>
            </w: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传统法（粒状）</w:t>
            </w:r>
          </w:p>
        </w:tc>
        <w:tc>
          <w:tcPr>
            <w:tcW w:w="16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单位产品</w:t>
            </w:r>
            <w:r>
              <w:rPr>
                <w:rFonts w:hint="eastAsia" w:ascii="仿宋_GB2312" w:hAnsi="等线" w:eastAsia="仿宋_GB2312" w:cs="仿宋_GB2312"/>
                <w:color w:val="000000"/>
                <w:kern w:val="0"/>
                <w:sz w:val="20"/>
                <w:szCs w:val="20"/>
                <w:lang w:bidi="ar"/>
              </w:rPr>
              <w:br w:type="textWrapping"/>
            </w:r>
            <w:r>
              <w:rPr>
                <w:rFonts w:hint="eastAsia" w:ascii="仿宋_GB2312" w:hAnsi="等线" w:eastAsia="仿宋_GB2312" w:cs="仿宋_GB2312"/>
                <w:color w:val="000000"/>
                <w:kern w:val="0"/>
                <w:sz w:val="20"/>
                <w:szCs w:val="20"/>
                <w:lang w:bidi="ar"/>
              </w:rPr>
              <w:t>综合能耗</w:t>
            </w:r>
          </w:p>
        </w:tc>
        <w:tc>
          <w:tcPr>
            <w:tcW w:w="15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千克标准煤/吨</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255</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265 </w:t>
            </w:r>
          </w:p>
        </w:tc>
        <w:tc>
          <w:tcPr>
            <w:tcW w:w="1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GB 29138</w:t>
            </w: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传统法（粉状）</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240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250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料浆法（粒状）</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170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180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料浆法（粉状）</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165</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175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磷酸二铵</w:t>
            </w: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传统法（粒状）</w:t>
            </w:r>
          </w:p>
        </w:tc>
        <w:tc>
          <w:tcPr>
            <w:tcW w:w="16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单位产品</w:t>
            </w:r>
            <w:r>
              <w:rPr>
                <w:rFonts w:hint="eastAsia" w:ascii="仿宋_GB2312" w:hAnsi="等线" w:eastAsia="仿宋_GB2312" w:cs="仿宋_GB2312"/>
                <w:color w:val="000000"/>
                <w:kern w:val="0"/>
                <w:sz w:val="20"/>
                <w:szCs w:val="20"/>
                <w:lang w:bidi="ar"/>
              </w:rPr>
              <w:br w:type="textWrapping"/>
            </w:r>
            <w:r>
              <w:rPr>
                <w:rFonts w:hint="eastAsia" w:ascii="仿宋_GB2312" w:hAnsi="等线" w:eastAsia="仿宋_GB2312" w:cs="仿宋_GB2312"/>
                <w:color w:val="000000"/>
                <w:kern w:val="0"/>
                <w:sz w:val="20"/>
                <w:szCs w:val="20"/>
                <w:lang w:bidi="ar"/>
              </w:rPr>
              <w:t>综合能耗</w:t>
            </w:r>
          </w:p>
        </w:tc>
        <w:tc>
          <w:tcPr>
            <w:tcW w:w="15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千克标准煤/吨</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250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263 </w:t>
            </w:r>
          </w:p>
        </w:tc>
        <w:tc>
          <w:tcPr>
            <w:tcW w:w="1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GB 29139</w:t>
            </w: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2"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2"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2"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料浆法（粒状）</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185</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193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20" w:hRule="atLeast"/>
          <w:jc w:val="center"/>
        </w:trPr>
        <w:tc>
          <w:tcPr>
            <w:tcW w:w="765" w:type="dxa"/>
            <w:vMerge w:val="restart"/>
            <w:tcBorders>
              <w:top w:val="single" w:color="000000" w:sz="2" w:space="0"/>
              <w:left w:val="single" w:color="000000" w:sz="2" w:space="0"/>
              <w:bottom w:val="single" w:color="000000" w:sz="2" w:space="0"/>
              <w:right w:val="single" w:color="000000" w:sz="2"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3</w:t>
            </w:r>
          </w:p>
        </w:tc>
        <w:tc>
          <w:tcPr>
            <w:tcW w:w="1228" w:type="dxa"/>
            <w:vMerge w:val="restart"/>
            <w:tcBorders>
              <w:top w:val="single" w:color="000000" w:sz="2" w:space="0"/>
              <w:left w:val="single" w:color="000000" w:sz="2" w:space="0"/>
              <w:bottom w:val="single" w:color="000000" w:sz="2" w:space="0"/>
              <w:right w:val="single" w:color="000000" w:sz="2"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橡胶和塑料制品业（29）</w:t>
            </w:r>
          </w:p>
        </w:tc>
        <w:tc>
          <w:tcPr>
            <w:tcW w:w="1206" w:type="dxa"/>
            <w:vMerge w:val="restart"/>
            <w:tcBorders>
              <w:top w:val="single" w:color="000000" w:sz="2" w:space="0"/>
              <w:left w:val="single" w:color="000000" w:sz="2" w:space="0"/>
              <w:bottom w:val="single" w:color="000000" w:sz="2" w:space="0"/>
              <w:right w:val="single" w:color="000000" w:sz="2"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橡胶制品业（291）</w:t>
            </w:r>
          </w:p>
        </w:tc>
        <w:tc>
          <w:tcPr>
            <w:tcW w:w="1298" w:type="dxa"/>
            <w:vMerge w:val="restart"/>
            <w:tcBorders>
              <w:top w:val="single" w:color="000000" w:sz="4" w:space="0"/>
              <w:left w:val="single" w:color="000000" w:sz="2"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轮胎制造（2911）</w:t>
            </w:r>
          </w:p>
        </w:tc>
        <w:tc>
          <w:tcPr>
            <w:tcW w:w="34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全钢子午线轮胎</w:t>
            </w:r>
          </w:p>
        </w:tc>
        <w:tc>
          <w:tcPr>
            <w:tcW w:w="16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单位产品能耗</w:t>
            </w:r>
          </w:p>
        </w:tc>
        <w:tc>
          <w:tcPr>
            <w:tcW w:w="15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千克标准煤/吨</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285</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338 </w:t>
            </w:r>
          </w:p>
        </w:tc>
        <w:tc>
          <w:tcPr>
            <w:tcW w:w="1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GB 29449</w:t>
            </w:r>
          </w:p>
        </w:tc>
      </w:tr>
      <w:tr>
        <w:tblPrEx>
          <w:tblCellMar>
            <w:top w:w="0" w:type="dxa"/>
            <w:left w:w="0" w:type="dxa"/>
            <w:bottom w:w="0" w:type="dxa"/>
            <w:right w:w="0" w:type="dxa"/>
          </w:tblCellMar>
        </w:tblPrEx>
        <w:trPr>
          <w:trHeight w:val="685" w:hRule="atLeast"/>
          <w:jc w:val="center"/>
        </w:trPr>
        <w:tc>
          <w:tcPr>
            <w:tcW w:w="765" w:type="dxa"/>
            <w:vMerge w:val="continue"/>
            <w:tcBorders>
              <w:top w:val="single" w:color="000000" w:sz="2" w:space="0"/>
              <w:left w:val="single" w:color="000000" w:sz="2" w:space="0"/>
              <w:bottom w:val="single" w:color="000000" w:sz="2" w:space="0"/>
              <w:right w:val="single" w:color="000000" w:sz="2"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2" w:space="0"/>
              <w:left w:val="single" w:color="000000" w:sz="2" w:space="0"/>
              <w:bottom w:val="single" w:color="000000" w:sz="2" w:space="0"/>
              <w:right w:val="single" w:color="000000" w:sz="2"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2" w:space="0"/>
              <w:left w:val="single" w:color="000000" w:sz="2" w:space="0"/>
              <w:bottom w:val="single" w:color="000000" w:sz="2" w:space="0"/>
              <w:right w:val="single" w:color="000000" w:sz="2"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2"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34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半钢子午线轮胎</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380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400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537" w:hRule="atLeast"/>
          <w:jc w:val="center"/>
        </w:trPr>
        <w:tc>
          <w:tcPr>
            <w:tcW w:w="765" w:type="dxa"/>
            <w:vMerge w:val="continue"/>
            <w:tcBorders>
              <w:top w:val="single" w:color="000000" w:sz="2" w:space="0"/>
              <w:left w:val="single" w:color="000000" w:sz="2" w:space="0"/>
              <w:bottom w:val="single" w:color="000000" w:sz="2" w:space="0"/>
              <w:right w:val="single" w:color="000000" w:sz="2"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2" w:space="0"/>
              <w:left w:val="single" w:color="000000" w:sz="2" w:space="0"/>
              <w:bottom w:val="single" w:color="000000" w:sz="2" w:space="0"/>
              <w:right w:val="single" w:color="000000" w:sz="2"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2" w:space="0"/>
              <w:left w:val="single" w:color="000000" w:sz="2" w:space="0"/>
              <w:bottom w:val="single" w:color="000000" w:sz="2" w:space="0"/>
              <w:right w:val="single" w:color="000000" w:sz="2"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2"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34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斜交轮胎</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400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450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89" w:hRule="atLeast"/>
          <w:jc w:val="center"/>
        </w:trPr>
        <w:tc>
          <w:tcPr>
            <w:tcW w:w="765" w:type="dxa"/>
            <w:vMerge w:val="continue"/>
            <w:tcBorders>
              <w:top w:val="single" w:color="000000" w:sz="2" w:space="0"/>
              <w:left w:val="single" w:color="000000" w:sz="2" w:space="0"/>
              <w:bottom w:val="single" w:color="000000" w:sz="2" w:space="0"/>
              <w:right w:val="single" w:color="000000" w:sz="2"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2" w:space="0"/>
              <w:left w:val="single" w:color="000000" w:sz="2" w:space="0"/>
              <w:bottom w:val="single" w:color="000000" w:sz="2" w:space="0"/>
              <w:right w:val="single" w:color="000000" w:sz="2"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2" w:space="0"/>
              <w:left w:val="single" w:color="000000" w:sz="2" w:space="0"/>
              <w:bottom w:val="single" w:color="000000" w:sz="2" w:space="0"/>
              <w:right w:val="single" w:color="000000" w:sz="2"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2"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34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工程机械轮胎</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415</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535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539" w:hRule="atLeast"/>
          <w:jc w:val="center"/>
        </w:trPr>
        <w:tc>
          <w:tcPr>
            <w:tcW w:w="765" w:type="dxa"/>
            <w:vMerge w:val="continue"/>
            <w:tcBorders>
              <w:top w:val="single" w:color="000000" w:sz="2" w:space="0"/>
              <w:left w:val="single" w:color="000000" w:sz="2" w:space="0"/>
              <w:bottom w:val="single" w:color="000000" w:sz="2" w:space="0"/>
              <w:right w:val="single" w:color="000000" w:sz="2"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2" w:space="0"/>
              <w:left w:val="single" w:color="000000" w:sz="2" w:space="0"/>
              <w:bottom w:val="single" w:color="000000" w:sz="2" w:space="0"/>
              <w:right w:val="single" w:color="000000" w:sz="2"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2" w:space="0"/>
              <w:left w:val="single" w:color="000000" w:sz="2" w:space="0"/>
              <w:bottom w:val="single" w:color="000000" w:sz="2" w:space="0"/>
              <w:right w:val="single" w:color="000000" w:sz="2"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2"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34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其他轮胎产品</w:t>
            </w:r>
          </w:p>
        </w:tc>
        <w:tc>
          <w:tcPr>
            <w:tcW w:w="164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万元产值能耗</w:t>
            </w:r>
          </w:p>
        </w:tc>
        <w:tc>
          <w:tcPr>
            <w:tcW w:w="1524"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pacing w:val="-8"/>
                <w:sz w:val="20"/>
                <w:szCs w:val="20"/>
              </w:rPr>
            </w:pPr>
            <w:r>
              <w:rPr>
                <w:rFonts w:hint="eastAsia" w:ascii="仿宋_GB2312" w:hAnsi="等线" w:eastAsia="仿宋_GB2312" w:cs="仿宋_GB2312"/>
                <w:color w:val="000000"/>
                <w:spacing w:val="-8"/>
                <w:kern w:val="0"/>
                <w:sz w:val="20"/>
                <w:szCs w:val="20"/>
                <w:lang w:bidi="ar"/>
              </w:rPr>
              <w:t>千克标准煤/万元</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148</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255 </w:t>
            </w:r>
          </w:p>
        </w:tc>
        <w:tc>
          <w:tcPr>
            <w:tcW w:w="1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w:t>
            </w:r>
          </w:p>
        </w:tc>
      </w:tr>
      <w:tr>
        <w:tblPrEx>
          <w:tblCellMar>
            <w:top w:w="0" w:type="dxa"/>
            <w:left w:w="0" w:type="dxa"/>
            <w:bottom w:w="0" w:type="dxa"/>
            <w:right w:w="0" w:type="dxa"/>
          </w:tblCellMar>
        </w:tblPrEx>
        <w:trPr>
          <w:trHeight w:val="534" w:hRule="atLeast"/>
          <w:jc w:val="center"/>
        </w:trPr>
        <w:tc>
          <w:tcPr>
            <w:tcW w:w="765" w:type="dxa"/>
            <w:vMerge w:val="restart"/>
            <w:tcBorders>
              <w:top w:val="single" w:color="000000" w:sz="2" w:space="0"/>
              <w:left w:val="single" w:color="000000" w:sz="4" w:space="0"/>
              <w:bottom w:val="single" w:color="000000" w:sz="2"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4</w:t>
            </w:r>
          </w:p>
        </w:tc>
        <w:tc>
          <w:tcPr>
            <w:tcW w:w="1228" w:type="dxa"/>
            <w:vMerge w:val="restart"/>
            <w:tcBorders>
              <w:top w:val="single" w:color="000000" w:sz="2" w:space="0"/>
              <w:left w:val="single" w:color="000000" w:sz="4" w:space="0"/>
              <w:bottom w:val="single" w:color="000000" w:sz="2"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非金属矿物制品业（30）</w:t>
            </w:r>
          </w:p>
        </w:tc>
        <w:tc>
          <w:tcPr>
            <w:tcW w:w="1206" w:type="dxa"/>
            <w:vMerge w:val="restart"/>
            <w:tcBorders>
              <w:top w:val="single" w:color="000000" w:sz="2"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水泥、石灰和石膏制造（301）</w:t>
            </w:r>
          </w:p>
        </w:tc>
        <w:tc>
          <w:tcPr>
            <w:tcW w:w="12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水泥制造（3011）</w:t>
            </w:r>
          </w:p>
        </w:tc>
        <w:tc>
          <w:tcPr>
            <w:tcW w:w="34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水泥熟料</w:t>
            </w:r>
          </w:p>
        </w:tc>
        <w:tc>
          <w:tcPr>
            <w:tcW w:w="1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单位产品</w:t>
            </w:r>
            <w:r>
              <w:rPr>
                <w:rFonts w:hint="eastAsia" w:ascii="仿宋_GB2312" w:hAnsi="等线" w:eastAsia="仿宋_GB2312" w:cs="仿宋_GB2312"/>
                <w:color w:val="000000"/>
                <w:kern w:val="0"/>
                <w:sz w:val="20"/>
                <w:szCs w:val="20"/>
                <w:lang w:bidi="ar"/>
              </w:rPr>
              <w:br w:type="textWrapping"/>
            </w:r>
            <w:r>
              <w:rPr>
                <w:rFonts w:hint="eastAsia" w:ascii="仿宋_GB2312" w:hAnsi="等线" w:eastAsia="仿宋_GB2312" w:cs="仿宋_GB2312"/>
                <w:color w:val="000000"/>
                <w:kern w:val="0"/>
                <w:sz w:val="20"/>
                <w:szCs w:val="20"/>
                <w:lang w:bidi="ar"/>
              </w:rPr>
              <w:t>综合能耗</w:t>
            </w:r>
          </w:p>
        </w:tc>
        <w:tc>
          <w:tcPr>
            <w:tcW w:w="1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千克标准煤/吨</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100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109 </w:t>
            </w:r>
          </w:p>
        </w:tc>
        <w:tc>
          <w:tcPr>
            <w:tcW w:w="1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GB 16780</w:t>
            </w: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2"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2"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34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水泥</w:t>
            </w:r>
          </w:p>
        </w:tc>
        <w:tc>
          <w:tcPr>
            <w:tcW w:w="1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水泥制备</w:t>
            </w:r>
            <w:r>
              <w:rPr>
                <w:rFonts w:hint="eastAsia" w:ascii="仿宋_GB2312" w:hAnsi="等线" w:eastAsia="仿宋_GB2312" w:cs="仿宋_GB2312"/>
                <w:color w:val="000000"/>
                <w:kern w:val="0"/>
                <w:sz w:val="20"/>
                <w:szCs w:val="20"/>
                <w:lang w:bidi="ar"/>
              </w:rPr>
              <w:br w:type="textWrapping"/>
            </w:r>
            <w:r>
              <w:rPr>
                <w:rFonts w:hint="eastAsia" w:ascii="仿宋_GB2312" w:hAnsi="等线" w:eastAsia="仿宋_GB2312" w:cs="仿宋_GB2312"/>
                <w:color w:val="000000"/>
                <w:kern w:val="0"/>
                <w:sz w:val="20"/>
                <w:szCs w:val="20"/>
                <w:lang w:bidi="ar"/>
              </w:rPr>
              <w:t>工段电耗</w:t>
            </w:r>
          </w:p>
        </w:tc>
        <w:tc>
          <w:tcPr>
            <w:tcW w:w="1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千瓦时/吨</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26</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30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66" w:hRule="atLeast"/>
          <w:jc w:val="center"/>
        </w:trPr>
        <w:tc>
          <w:tcPr>
            <w:tcW w:w="765" w:type="dxa"/>
            <w:vMerge w:val="continue"/>
            <w:tcBorders>
              <w:top w:val="single" w:color="000000" w:sz="4" w:space="0"/>
              <w:left w:val="single" w:color="000000" w:sz="4" w:space="0"/>
              <w:bottom w:val="single" w:color="000000" w:sz="2"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2"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石灰和石膏制造（3012）</w:t>
            </w:r>
          </w:p>
        </w:tc>
        <w:tc>
          <w:tcPr>
            <w:tcW w:w="1363" w:type="dxa"/>
            <w:vMerge w:val="restar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石灰制造</w:t>
            </w:r>
          </w:p>
        </w:tc>
        <w:tc>
          <w:tcPr>
            <w:tcW w:w="211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竖窑</w:t>
            </w:r>
          </w:p>
        </w:tc>
        <w:tc>
          <w:tcPr>
            <w:tcW w:w="16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单位产品</w:t>
            </w:r>
            <w:r>
              <w:rPr>
                <w:rFonts w:hint="eastAsia" w:ascii="仿宋_GB2312" w:hAnsi="等线" w:eastAsia="仿宋_GB2312" w:cs="仿宋_GB2312"/>
                <w:color w:val="000000"/>
                <w:kern w:val="0"/>
                <w:sz w:val="20"/>
                <w:szCs w:val="20"/>
                <w:lang w:bidi="ar"/>
              </w:rPr>
              <w:br w:type="textWrapping"/>
            </w:r>
            <w:r>
              <w:rPr>
                <w:rFonts w:hint="eastAsia" w:ascii="仿宋_GB2312" w:hAnsi="等线" w:eastAsia="仿宋_GB2312" w:cs="仿宋_GB2312"/>
                <w:color w:val="000000"/>
                <w:kern w:val="0"/>
                <w:sz w:val="20"/>
                <w:szCs w:val="20"/>
                <w:lang w:bidi="ar"/>
              </w:rPr>
              <w:t>综合能耗</w:t>
            </w:r>
          </w:p>
        </w:tc>
        <w:tc>
          <w:tcPr>
            <w:tcW w:w="15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千克标准煤/吨</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120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135 </w:t>
            </w:r>
          </w:p>
        </w:tc>
        <w:tc>
          <w:tcPr>
            <w:tcW w:w="1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w:t>
            </w:r>
          </w:p>
        </w:tc>
      </w:tr>
      <w:tr>
        <w:tblPrEx>
          <w:tblCellMar>
            <w:top w:w="0" w:type="dxa"/>
            <w:left w:w="0" w:type="dxa"/>
            <w:bottom w:w="0" w:type="dxa"/>
            <w:right w:w="0" w:type="dxa"/>
          </w:tblCellMar>
        </w:tblPrEx>
        <w:trPr>
          <w:trHeight w:val="689" w:hRule="atLeast"/>
          <w:jc w:val="center"/>
        </w:trPr>
        <w:tc>
          <w:tcPr>
            <w:tcW w:w="765" w:type="dxa"/>
            <w:vMerge w:val="continue"/>
            <w:tcBorders>
              <w:top w:val="single" w:color="000000" w:sz="4" w:space="0"/>
              <w:left w:val="single" w:color="000000" w:sz="4" w:space="0"/>
              <w:bottom w:val="single" w:color="000000" w:sz="2"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2"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回转窑</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125</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140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71" w:hRule="atLeast"/>
          <w:jc w:val="center"/>
        </w:trPr>
        <w:tc>
          <w:tcPr>
            <w:tcW w:w="765" w:type="dxa"/>
            <w:vMerge w:val="continue"/>
            <w:tcBorders>
              <w:top w:val="single" w:color="000000" w:sz="4" w:space="0"/>
              <w:left w:val="single" w:color="000000" w:sz="4" w:space="0"/>
              <w:bottom w:val="single" w:color="000000" w:sz="2"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2"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砖瓦、石材等建筑材料制造（303)</w:t>
            </w:r>
          </w:p>
        </w:tc>
        <w:tc>
          <w:tcPr>
            <w:tcW w:w="12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防水建筑材料制造（3033）</w:t>
            </w:r>
          </w:p>
        </w:tc>
        <w:tc>
          <w:tcPr>
            <w:tcW w:w="13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沥青基防水卷材</w:t>
            </w: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有胎</w:t>
            </w:r>
          </w:p>
        </w:tc>
        <w:tc>
          <w:tcPr>
            <w:tcW w:w="16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单位产品</w:t>
            </w:r>
            <w:r>
              <w:rPr>
                <w:rFonts w:hint="eastAsia" w:ascii="仿宋_GB2312" w:hAnsi="等线" w:eastAsia="仿宋_GB2312" w:cs="仿宋_GB2312"/>
                <w:color w:val="000000"/>
                <w:kern w:val="0"/>
                <w:sz w:val="20"/>
                <w:szCs w:val="20"/>
                <w:lang w:bidi="ar"/>
              </w:rPr>
              <w:br w:type="textWrapping"/>
            </w:r>
            <w:r>
              <w:rPr>
                <w:rFonts w:hint="eastAsia" w:ascii="仿宋_GB2312" w:hAnsi="等线" w:eastAsia="仿宋_GB2312" w:cs="仿宋_GB2312"/>
                <w:color w:val="000000"/>
                <w:kern w:val="0"/>
                <w:sz w:val="20"/>
                <w:szCs w:val="20"/>
                <w:lang w:bidi="ar"/>
              </w:rPr>
              <w:t>综合能耗</w:t>
            </w:r>
          </w:p>
        </w:tc>
        <w:tc>
          <w:tcPr>
            <w:tcW w:w="15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千克标准煤/千平方米</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180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190 </w:t>
            </w:r>
          </w:p>
        </w:tc>
        <w:tc>
          <w:tcPr>
            <w:tcW w:w="1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GB 30184</w:t>
            </w:r>
          </w:p>
        </w:tc>
      </w:tr>
      <w:tr>
        <w:tblPrEx>
          <w:tblCellMar>
            <w:top w:w="0" w:type="dxa"/>
            <w:left w:w="0" w:type="dxa"/>
            <w:bottom w:w="0" w:type="dxa"/>
            <w:right w:w="0" w:type="dxa"/>
          </w:tblCellMar>
        </w:tblPrEx>
        <w:trPr>
          <w:trHeight w:val="695" w:hRule="atLeast"/>
          <w:jc w:val="center"/>
        </w:trPr>
        <w:tc>
          <w:tcPr>
            <w:tcW w:w="765" w:type="dxa"/>
            <w:vMerge w:val="continue"/>
            <w:tcBorders>
              <w:top w:val="single" w:color="000000" w:sz="4" w:space="0"/>
              <w:left w:val="single" w:color="000000" w:sz="4" w:space="0"/>
              <w:bottom w:val="single" w:color="000000" w:sz="2"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2"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无胎</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90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95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2"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2"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玻璃制造（304）</w:t>
            </w:r>
          </w:p>
        </w:tc>
        <w:tc>
          <w:tcPr>
            <w:tcW w:w="1298"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平板玻璃制造(3041）</w:t>
            </w:r>
          </w:p>
        </w:tc>
        <w:tc>
          <w:tcPr>
            <w:tcW w:w="34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平板玻璃（生产能力&gt;800吨/天）</w:t>
            </w:r>
          </w:p>
        </w:tc>
        <w:tc>
          <w:tcPr>
            <w:tcW w:w="16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单位产品能耗</w:t>
            </w:r>
          </w:p>
        </w:tc>
        <w:tc>
          <w:tcPr>
            <w:tcW w:w="15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千克标准煤/重量箱</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8</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10 </w:t>
            </w:r>
          </w:p>
        </w:tc>
        <w:tc>
          <w:tcPr>
            <w:tcW w:w="1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GB 21340</w:t>
            </w:r>
            <w:r>
              <w:rPr>
                <w:rFonts w:hint="eastAsia" w:ascii="仿宋_GB2312" w:hAnsi="等线" w:eastAsia="仿宋_GB2312" w:cs="仿宋_GB2312"/>
                <w:color w:val="000000"/>
                <w:kern w:val="0"/>
                <w:sz w:val="20"/>
                <w:szCs w:val="20"/>
                <w:lang w:bidi="ar"/>
              </w:rPr>
              <w:br w:type="textWrapping"/>
            </w:r>
            <w:r>
              <w:rPr>
                <w:rFonts w:hint="eastAsia" w:ascii="仿宋_GB2312" w:hAnsi="等线" w:eastAsia="仿宋_GB2312" w:cs="仿宋_GB2312"/>
                <w:color w:val="000000"/>
                <w:kern w:val="0"/>
                <w:sz w:val="20"/>
                <w:szCs w:val="20"/>
                <w:lang w:bidi="ar"/>
              </w:rPr>
              <w:t>注：汽车用平板玻璃能耗修正系数参照此标准</w:t>
            </w: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2"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2"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34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平板玻璃（500≤生产能力≥800吨/天）</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9.5</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12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2"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2"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34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平板玻璃（生产能力&lt;500吨/天）</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12.5</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13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2"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2"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陶瓷制品制造（307）</w:t>
            </w:r>
          </w:p>
        </w:tc>
        <w:tc>
          <w:tcPr>
            <w:tcW w:w="12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建筑陶瓷制品制造（3071）</w:t>
            </w:r>
          </w:p>
        </w:tc>
        <w:tc>
          <w:tcPr>
            <w:tcW w:w="34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吸水率≤0.5%的陶瓷砖</w:t>
            </w:r>
          </w:p>
        </w:tc>
        <w:tc>
          <w:tcPr>
            <w:tcW w:w="16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单位产品</w:t>
            </w:r>
            <w:r>
              <w:rPr>
                <w:rFonts w:hint="eastAsia" w:ascii="仿宋_GB2312" w:hAnsi="等线" w:eastAsia="仿宋_GB2312" w:cs="仿宋_GB2312"/>
                <w:color w:val="000000"/>
                <w:kern w:val="0"/>
                <w:sz w:val="20"/>
                <w:szCs w:val="20"/>
                <w:lang w:bidi="ar"/>
              </w:rPr>
              <w:br w:type="textWrapping"/>
            </w:r>
            <w:r>
              <w:rPr>
                <w:rFonts w:hint="eastAsia" w:ascii="仿宋_GB2312" w:hAnsi="等线" w:eastAsia="仿宋_GB2312" w:cs="仿宋_GB2312"/>
                <w:color w:val="000000"/>
                <w:kern w:val="0"/>
                <w:sz w:val="20"/>
                <w:szCs w:val="20"/>
                <w:lang w:bidi="ar"/>
              </w:rPr>
              <w:t>综合能耗</w:t>
            </w:r>
          </w:p>
        </w:tc>
        <w:tc>
          <w:tcPr>
            <w:tcW w:w="15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千克标准煤/平方米</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4</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6 </w:t>
            </w:r>
          </w:p>
        </w:tc>
        <w:tc>
          <w:tcPr>
            <w:tcW w:w="1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GB 21252</w:t>
            </w: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2"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2"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34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0.5%&lt;吸水率≤10%的陶瓷砖</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3.7</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4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2"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2"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34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吸水率&gt;10%的陶瓷砖</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3.5</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4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2"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2"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卫生陶瓷制品制造（3072）</w:t>
            </w:r>
          </w:p>
        </w:tc>
        <w:tc>
          <w:tcPr>
            <w:tcW w:w="34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卫生陶瓷</w:t>
            </w:r>
          </w:p>
        </w:tc>
        <w:tc>
          <w:tcPr>
            <w:tcW w:w="1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单位产品</w:t>
            </w:r>
            <w:r>
              <w:rPr>
                <w:rFonts w:hint="eastAsia" w:ascii="仿宋_GB2312" w:hAnsi="等线" w:eastAsia="仿宋_GB2312" w:cs="仿宋_GB2312"/>
                <w:color w:val="000000"/>
                <w:kern w:val="0"/>
                <w:sz w:val="20"/>
                <w:szCs w:val="20"/>
                <w:lang w:bidi="ar"/>
              </w:rPr>
              <w:br w:type="textWrapping"/>
            </w:r>
            <w:r>
              <w:rPr>
                <w:rFonts w:hint="eastAsia" w:ascii="仿宋_GB2312" w:hAnsi="等线" w:eastAsia="仿宋_GB2312" w:cs="仿宋_GB2312"/>
                <w:color w:val="000000"/>
                <w:kern w:val="0"/>
                <w:sz w:val="20"/>
                <w:szCs w:val="20"/>
                <w:lang w:bidi="ar"/>
              </w:rPr>
              <w:t>综合能耗</w:t>
            </w:r>
          </w:p>
        </w:tc>
        <w:tc>
          <w:tcPr>
            <w:tcW w:w="1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千克标准煤/吨</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300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465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restart"/>
            <w:tcBorders>
              <w:top w:val="single" w:color="000000" w:sz="2"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5</w:t>
            </w:r>
          </w:p>
        </w:tc>
        <w:tc>
          <w:tcPr>
            <w:tcW w:w="1228" w:type="dxa"/>
            <w:vMerge w:val="restart"/>
            <w:tcBorders>
              <w:top w:val="single" w:color="000000" w:sz="2"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黑色金属冶炼和压延加工业（31）</w:t>
            </w:r>
          </w:p>
        </w:tc>
        <w:tc>
          <w:tcPr>
            <w:tcW w:w="12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炼铁（311）</w:t>
            </w:r>
          </w:p>
        </w:tc>
        <w:tc>
          <w:tcPr>
            <w:tcW w:w="12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炼铁（3110）</w:t>
            </w: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炼铁</w:t>
            </w: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高炉工序</w:t>
            </w:r>
          </w:p>
        </w:tc>
        <w:tc>
          <w:tcPr>
            <w:tcW w:w="1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单位产品能耗</w:t>
            </w:r>
          </w:p>
        </w:tc>
        <w:tc>
          <w:tcPr>
            <w:tcW w:w="1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千克标准煤/吨</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361</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398 </w:t>
            </w:r>
          </w:p>
        </w:tc>
        <w:tc>
          <w:tcPr>
            <w:tcW w:w="1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GB 21256</w:t>
            </w: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炼钢（312）</w:t>
            </w:r>
          </w:p>
        </w:tc>
        <w:tc>
          <w:tcPr>
            <w:tcW w:w="12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炼钢（3120）</w:t>
            </w:r>
          </w:p>
        </w:tc>
        <w:tc>
          <w:tcPr>
            <w:tcW w:w="34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转炉工序</w:t>
            </w:r>
          </w:p>
        </w:tc>
        <w:tc>
          <w:tcPr>
            <w:tcW w:w="1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单位产品能耗</w:t>
            </w:r>
          </w:p>
        </w:tc>
        <w:tc>
          <w:tcPr>
            <w:tcW w:w="1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千克标准煤/吨</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-30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-20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电弧炉冶炼</w:t>
            </w: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30吨&lt;公称容量&lt;50吨</w:t>
            </w:r>
          </w:p>
        </w:tc>
        <w:tc>
          <w:tcPr>
            <w:tcW w:w="16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单位产品能耗</w:t>
            </w:r>
          </w:p>
        </w:tc>
        <w:tc>
          <w:tcPr>
            <w:tcW w:w="15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千克标准煤/吨</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67</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77 </w:t>
            </w:r>
          </w:p>
        </w:tc>
        <w:tc>
          <w:tcPr>
            <w:tcW w:w="1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GB 32050</w:t>
            </w:r>
            <w:r>
              <w:rPr>
                <w:rFonts w:hint="eastAsia" w:ascii="仿宋_GB2312" w:hAnsi="等线" w:eastAsia="仿宋_GB2312" w:cs="仿宋_GB2312"/>
                <w:color w:val="000000"/>
                <w:kern w:val="0"/>
                <w:sz w:val="20"/>
                <w:szCs w:val="20"/>
                <w:lang w:bidi="ar"/>
              </w:rPr>
              <w:br w:type="textWrapping"/>
            </w:r>
            <w:r>
              <w:rPr>
                <w:rFonts w:hint="eastAsia" w:ascii="仿宋_GB2312" w:hAnsi="等线" w:eastAsia="仿宋_GB2312" w:cs="仿宋_GB2312"/>
                <w:color w:val="000000"/>
                <w:kern w:val="0"/>
                <w:sz w:val="20"/>
                <w:szCs w:val="20"/>
                <w:lang w:bidi="ar"/>
              </w:rPr>
              <w:t>注：电弧炉冶炼全不锈钢单位产品能耗提高10%</w:t>
            </w: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公称容量≥50吨</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61</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67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铁合金冶炼（314）</w:t>
            </w:r>
          </w:p>
        </w:tc>
        <w:tc>
          <w:tcPr>
            <w:tcW w:w="12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铁合金冶炼（3140）</w:t>
            </w:r>
          </w:p>
        </w:tc>
        <w:tc>
          <w:tcPr>
            <w:tcW w:w="34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硅铁</w:t>
            </w:r>
          </w:p>
        </w:tc>
        <w:tc>
          <w:tcPr>
            <w:tcW w:w="16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单位产品</w:t>
            </w:r>
            <w:r>
              <w:rPr>
                <w:rFonts w:hint="eastAsia" w:ascii="仿宋_GB2312" w:hAnsi="等线" w:eastAsia="仿宋_GB2312" w:cs="仿宋_GB2312"/>
                <w:color w:val="000000"/>
                <w:kern w:val="0"/>
                <w:sz w:val="20"/>
                <w:szCs w:val="20"/>
                <w:lang w:bidi="ar"/>
              </w:rPr>
              <w:br w:type="textWrapping"/>
            </w:r>
            <w:r>
              <w:rPr>
                <w:rFonts w:hint="eastAsia" w:ascii="仿宋_GB2312" w:hAnsi="等线" w:eastAsia="仿宋_GB2312" w:cs="仿宋_GB2312"/>
                <w:color w:val="000000"/>
                <w:kern w:val="0"/>
                <w:sz w:val="20"/>
                <w:szCs w:val="20"/>
                <w:lang w:bidi="ar"/>
              </w:rPr>
              <w:t>综合能耗</w:t>
            </w:r>
          </w:p>
        </w:tc>
        <w:tc>
          <w:tcPr>
            <w:tcW w:w="15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千克标准煤/吨</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1770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1835 </w:t>
            </w:r>
          </w:p>
        </w:tc>
        <w:tc>
          <w:tcPr>
            <w:tcW w:w="1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GB 21341</w:t>
            </w: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34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电炉高碳锰铁</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610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635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34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锰硅合金</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860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905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34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高碳铬铁</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710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755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6</w:t>
            </w:r>
          </w:p>
        </w:tc>
        <w:tc>
          <w:tcPr>
            <w:tcW w:w="122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有色金属冶炼和压延加工（32）</w:t>
            </w:r>
          </w:p>
        </w:tc>
        <w:tc>
          <w:tcPr>
            <w:tcW w:w="12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常用有色金属冶炼（321）</w:t>
            </w:r>
          </w:p>
        </w:tc>
        <w:tc>
          <w:tcPr>
            <w:tcW w:w="12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铜冶炼（3211）</w:t>
            </w:r>
          </w:p>
        </w:tc>
        <w:tc>
          <w:tcPr>
            <w:tcW w:w="13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铜精矿冶炼工艺</w:t>
            </w: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铜冶炼工艺（铜精矿-阴极铜）</w:t>
            </w:r>
          </w:p>
        </w:tc>
        <w:tc>
          <w:tcPr>
            <w:tcW w:w="16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单位产品</w:t>
            </w:r>
            <w:r>
              <w:rPr>
                <w:rFonts w:hint="eastAsia" w:ascii="仿宋_GB2312" w:hAnsi="等线" w:eastAsia="仿宋_GB2312" w:cs="仿宋_GB2312"/>
                <w:color w:val="000000"/>
                <w:kern w:val="0"/>
                <w:sz w:val="20"/>
                <w:szCs w:val="20"/>
                <w:lang w:bidi="ar"/>
              </w:rPr>
              <w:br w:type="textWrapping"/>
            </w:r>
            <w:r>
              <w:rPr>
                <w:rFonts w:hint="eastAsia" w:ascii="仿宋_GB2312" w:hAnsi="等线" w:eastAsia="仿宋_GB2312" w:cs="仿宋_GB2312"/>
                <w:color w:val="000000"/>
                <w:kern w:val="0"/>
                <w:sz w:val="20"/>
                <w:szCs w:val="20"/>
                <w:lang w:bidi="ar"/>
              </w:rPr>
              <w:t>综合能耗</w:t>
            </w:r>
          </w:p>
        </w:tc>
        <w:tc>
          <w:tcPr>
            <w:tcW w:w="15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千克标准煤/吨</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260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320 </w:t>
            </w:r>
          </w:p>
        </w:tc>
        <w:tc>
          <w:tcPr>
            <w:tcW w:w="1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GB 21248</w:t>
            </w: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粗铜工艺（铜精矿-粗铜）</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140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200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阳极铜工艺（铜精矿-阳极铜）</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180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235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电解工序（阳极铜-阴极铜）</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85</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98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粗、杂铜冶炼工艺</w:t>
            </w: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粗铜工艺（杂铜-粗铜）</w:t>
            </w:r>
          </w:p>
        </w:tc>
        <w:tc>
          <w:tcPr>
            <w:tcW w:w="16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单位产品</w:t>
            </w:r>
            <w:r>
              <w:rPr>
                <w:rFonts w:hint="eastAsia" w:ascii="仿宋_GB2312" w:hAnsi="等线" w:eastAsia="仿宋_GB2312" w:cs="仿宋_GB2312"/>
                <w:color w:val="000000"/>
                <w:kern w:val="0"/>
                <w:sz w:val="20"/>
                <w:szCs w:val="20"/>
                <w:lang w:bidi="ar"/>
              </w:rPr>
              <w:br w:type="textWrapping"/>
            </w:r>
            <w:r>
              <w:rPr>
                <w:rFonts w:hint="eastAsia" w:ascii="仿宋_GB2312" w:hAnsi="等线" w:eastAsia="仿宋_GB2312" w:cs="仿宋_GB2312"/>
                <w:color w:val="000000"/>
                <w:kern w:val="0"/>
                <w:sz w:val="20"/>
                <w:szCs w:val="20"/>
                <w:lang w:bidi="ar"/>
              </w:rPr>
              <w:t>综合能耗</w:t>
            </w:r>
          </w:p>
        </w:tc>
        <w:tc>
          <w:tcPr>
            <w:tcW w:w="15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千克标准煤/吨</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200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220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阳极铜工艺（杂铜-阳极铜）</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280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285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阳极铜工艺（粗铜-阳极铜）</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220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245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铜精炼工艺（杂铜-阴极铜）</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350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355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铜精炼工艺（粗铜-阴极铜）</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310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330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铅锌冶炼（3212）</w:t>
            </w:r>
          </w:p>
        </w:tc>
        <w:tc>
          <w:tcPr>
            <w:tcW w:w="13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铅冶炼</w:t>
            </w: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粗铅工艺</w:t>
            </w:r>
          </w:p>
        </w:tc>
        <w:tc>
          <w:tcPr>
            <w:tcW w:w="16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单位产品</w:t>
            </w:r>
            <w:r>
              <w:rPr>
                <w:rFonts w:hint="eastAsia" w:ascii="仿宋_GB2312" w:hAnsi="等线" w:eastAsia="仿宋_GB2312" w:cs="仿宋_GB2312"/>
                <w:color w:val="000000"/>
                <w:kern w:val="0"/>
                <w:sz w:val="20"/>
                <w:szCs w:val="20"/>
                <w:lang w:bidi="ar"/>
              </w:rPr>
              <w:br w:type="textWrapping"/>
            </w:r>
            <w:r>
              <w:rPr>
                <w:rFonts w:hint="eastAsia" w:ascii="仿宋_GB2312" w:hAnsi="等线" w:eastAsia="仿宋_GB2312" w:cs="仿宋_GB2312"/>
                <w:color w:val="000000"/>
                <w:kern w:val="0"/>
                <w:sz w:val="20"/>
                <w:szCs w:val="20"/>
                <w:lang w:bidi="ar"/>
              </w:rPr>
              <w:t>综合能耗</w:t>
            </w:r>
          </w:p>
        </w:tc>
        <w:tc>
          <w:tcPr>
            <w:tcW w:w="15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千克标准煤/吨</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230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265 </w:t>
            </w:r>
          </w:p>
        </w:tc>
        <w:tc>
          <w:tcPr>
            <w:tcW w:w="1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GB 21250</w:t>
            </w: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铅电解精炼工序</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100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110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铅冶炼工艺</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330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375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锌冶炼</w:t>
            </w: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火法炼锌工艺：粗锌</w:t>
            </w:r>
            <w:r>
              <w:rPr>
                <w:rFonts w:hint="eastAsia" w:ascii="仿宋_GB2312" w:hAnsi="等线" w:eastAsia="仿宋_GB2312" w:cs="仿宋_GB2312"/>
                <w:color w:val="000000"/>
                <w:kern w:val="0"/>
                <w:sz w:val="20"/>
                <w:szCs w:val="20"/>
                <w:lang w:bidi="ar"/>
              </w:rPr>
              <w:br w:type="textWrapping"/>
            </w:r>
            <w:r>
              <w:rPr>
                <w:rFonts w:hint="eastAsia" w:ascii="仿宋_GB2312" w:hAnsi="等线" w:eastAsia="仿宋_GB2312" w:cs="仿宋_GB2312"/>
                <w:color w:val="000000"/>
                <w:kern w:val="0"/>
                <w:sz w:val="20"/>
                <w:szCs w:val="20"/>
                <w:lang w:bidi="ar"/>
              </w:rPr>
              <w:t>（精矿-粗锌）</w:t>
            </w:r>
          </w:p>
        </w:tc>
        <w:tc>
          <w:tcPr>
            <w:tcW w:w="16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单位产品</w:t>
            </w:r>
            <w:r>
              <w:rPr>
                <w:rFonts w:hint="eastAsia" w:ascii="仿宋_GB2312" w:hAnsi="等线" w:eastAsia="仿宋_GB2312" w:cs="仿宋_GB2312"/>
                <w:color w:val="000000"/>
                <w:kern w:val="0"/>
                <w:sz w:val="20"/>
                <w:szCs w:val="20"/>
                <w:lang w:bidi="ar"/>
              </w:rPr>
              <w:br w:type="textWrapping"/>
            </w:r>
            <w:r>
              <w:rPr>
                <w:rFonts w:hint="eastAsia" w:ascii="仿宋_GB2312" w:hAnsi="等线" w:eastAsia="仿宋_GB2312" w:cs="仿宋_GB2312"/>
                <w:color w:val="000000"/>
                <w:kern w:val="0"/>
                <w:sz w:val="20"/>
                <w:szCs w:val="20"/>
                <w:lang w:bidi="ar"/>
              </w:rPr>
              <w:t>综合能耗</w:t>
            </w:r>
          </w:p>
        </w:tc>
        <w:tc>
          <w:tcPr>
            <w:tcW w:w="15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千克标准煤/吨</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1450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1535 </w:t>
            </w:r>
          </w:p>
        </w:tc>
        <w:tc>
          <w:tcPr>
            <w:tcW w:w="1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GB 21249</w:t>
            </w: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火法炼锌工艺：精馏锌</w:t>
            </w:r>
            <w:r>
              <w:rPr>
                <w:rFonts w:hint="eastAsia" w:ascii="仿宋_GB2312" w:hAnsi="等线" w:eastAsia="仿宋_GB2312" w:cs="仿宋_GB2312"/>
                <w:color w:val="000000"/>
                <w:kern w:val="0"/>
                <w:sz w:val="20"/>
                <w:szCs w:val="20"/>
                <w:lang w:bidi="ar"/>
              </w:rPr>
              <w:br w:type="textWrapping"/>
            </w:r>
            <w:r>
              <w:rPr>
                <w:rFonts w:hint="eastAsia" w:ascii="仿宋_GB2312" w:hAnsi="等线" w:eastAsia="仿宋_GB2312" w:cs="仿宋_GB2312"/>
                <w:color w:val="000000"/>
                <w:kern w:val="0"/>
                <w:sz w:val="20"/>
                <w:szCs w:val="20"/>
                <w:lang w:bidi="ar"/>
              </w:rPr>
              <w:t>（精矿-精馏锌）</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1800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1910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96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pacing w:val="-8"/>
                <w:sz w:val="20"/>
                <w:szCs w:val="20"/>
              </w:rPr>
            </w:pPr>
            <w:r>
              <w:rPr>
                <w:rFonts w:hint="eastAsia" w:ascii="仿宋_GB2312" w:hAnsi="等线" w:eastAsia="仿宋_GB2312" w:cs="仿宋_GB2312"/>
                <w:color w:val="000000"/>
                <w:spacing w:val="-8"/>
                <w:kern w:val="0"/>
                <w:sz w:val="20"/>
                <w:szCs w:val="20"/>
                <w:lang w:bidi="ar"/>
              </w:rPr>
              <w:t>湿法炼锌工艺：电锌锌锭</w:t>
            </w:r>
            <w:r>
              <w:rPr>
                <w:rFonts w:hint="eastAsia" w:ascii="仿宋_GB2312" w:hAnsi="等线" w:eastAsia="仿宋_GB2312" w:cs="仿宋_GB2312"/>
                <w:color w:val="000000"/>
                <w:spacing w:val="-8"/>
                <w:kern w:val="0"/>
                <w:sz w:val="20"/>
                <w:szCs w:val="20"/>
                <w:lang w:bidi="ar"/>
              </w:rPr>
              <w:br w:type="textWrapping"/>
            </w:r>
            <w:r>
              <w:rPr>
                <w:rFonts w:hint="eastAsia" w:ascii="仿宋_GB2312" w:hAnsi="等线" w:eastAsia="仿宋_GB2312" w:cs="仿宋_GB2312"/>
                <w:color w:val="000000"/>
                <w:spacing w:val="-8"/>
                <w:kern w:val="0"/>
                <w:sz w:val="20"/>
                <w:szCs w:val="20"/>
                <w:lang w:bidi="ar"/>
              </w:rPr>
              <w:t>（有浸出渣火法处理工艺）</w:t>
            </w:r>
            <w:r>
              <w:rPr>
                <w:rFonts w:hint="eastAsia" w:ascii="仿宋_GB2312" w:hAnsi="等线" w:eastAsia="仿宋_GB2312" w:cs="仿宋_GB2312"/>
                <w:color w:val="000000"/>
                <w:spacing w:val="-8"/>
                <w:kern w:val="0"/>
                <w:sz w:val="20"/>
                <w:szCs w:val="20"/>
                <w:lang w:bidi="ar"/>
              </w:rPr>
              <w:br w:type="textWrapping"/>
            </w:r>
            <w:r>
              <w:rPr>
                <w:rFonts w:hint="eastAsia" w:ascii="仿宋_GB2312" w:hAnsi="等线" w:eastAsia="仿宋_GB2312" w:cs="仿宋_GB2312"/>
                <w:color w:val="000000"/>
                <w:spacing w:val="-8"/>
                <w:kern w:val="0"/>
                <w:sz w:val="20"/>
                <w:szCs w:val="20"/>
                <w:lang w:bidi="ar"/>
              </w:rPr>
              <w:t>（精矿-电锌锌锭）</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1100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1190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0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pacing w:val="-8"/>
                <w:sz w:val="20"/>
                <w:szCs w:val="20"/>
              </w:rPr>
            </w:pPr>
            <w:r>
              <w:rPr>
                <w:rFonts w:hint="eastAsia" w:ascii="仿宋_GB2312" w:hAnsi="等线" w:eastAsia="仿宋_GB2312" w:cs="仿宋_GB2312"/>
                <w:color w:val="000000"/>
                <w:spacing w:val="-8"/>
                <w:kern w:val="0"/>
                <w:sz w:val="20"/>
                <w:szCs w:val="20"/>
                <w:lang w:bidi="ar"/>
              </w:rPr>
              <w:t>湿法炼锌工艺：电锌锌锭</w:t>
            </w:r>
            <w:r>
              <w:rPr>
                <w:rFonts w:hint="eastAsia" w:ascii="仿宋_GB2312" w:hAnsi="等线" w:eastAsia="仿宋_GB2312" w:cs="仿宋_GB2312"/>
                <w:color w:val="000000"/>
                <w:spacing w:val="-8"/>
                <w:kern w:val="0"/>
                <w:sz w:val="20"/>
                <w:szCs w:val="20"/>
                <w:lang w:bidi="ar"/>
              </w:rPr>
              <w:br w:type="textWrapping"/>
            </w:r>
            <w:r>
              <w:rPr>
                <w:rFonts w:hint="eastAsia" w:ascii="仿宋_GB2312" w:hAnsi="等线" w:eastAsia="仿宋_GB2312" w:cs="仿宋_GB2312"/>
                <w:color w:val="000000"/>
                <w:spacing w:val="-8"/>
                <w:kern w:val="0"/>
                <w:sz w:val="20"/>
                <w:szCs w:val="20"/>
                <w:lang w:bidi="ar"/>
              </w:rPr>
              <w:t>（有浸出渣火法处理工艺）</w:t>
            </w:r>
            <w:r>
              <w:rPr>
                <w:rFonts w:hint="eastAsia" w:ascii="仿宋_GB2312" w:hAnsi="等线" w:eastAsia="仿宋_GB2312" w:cs="仿宋_GB2312"/>
                <w:color w:val="000000"/>
                <w:spacing w:val="-8"/>
                <w:kern w:val="0"/>
                <w:sz w:val="20"/>
                <w:szCs w:val="20"/>
                <w:lang w:bidi="ar"/>
              </w:rPr>
              <w:br w:type="textWrapping"/>
            </w:r>
            <w:r>
              <w:rPr>
                <w:rFonts w:hint="eastAsia" w:ascii="仿宋_GB2312" w:hAnsi="等线" w:eastAsia="仿宋_GB2312" w:cs="仿宋_GB2312"/>
                <w:color w:val="000000"/>
                <w:spacing w:val="-8"/>
                <w:kern w:val="0"/>
                <w:sz w:val="20"/>
                <w:szCs w:val="20"/>
                <w:lang w:bidi="ar"/>
              </w:rPr>
              <w:t>（精矿-电锌锌锭）</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800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875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78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湿法炼锌工艺：电锌锌锭</w:t>
            </w:r>
            <w:r>
              <w:rPr>
                <w:rFonts w:hint="eastAsia" w:ascii="仿宋_GB2312" w:hAnsi="等线" w:eastAsia="仿宋_GB2312" w:cs="仿宋_GB2312"/>
                <w:color w:val="000000"/>
                <w:kern w:val="0"/>
                <w:sz w:val="20"/>
                <w:szCs w:val="20"/>
                <w:lang w:bidi="ar"/>
              </w:rPr>
              <w:br w:type="textWrapping"/>
            </w:r>
            <w:r>
              <w:rPr>
                <w:rFonts w:hint="eastAsia" w:ascii="仿宋_GB2312" w:hAnsi="等线" w:eastAsia="仿宋_GB2312" w:cs="仿宋_GB2312"/>
                <w:color w:val="000000"/>
                <w:kern w:val="0"/>
                <w:sz w:val="20"/>
                <w:szCs w:val="20"/>
                <w:lang w:bidi="ar"/>
              </w:rPr>
              <w:t>（氧化锌精矿-电锌锌锭）</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800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875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铝冶炼（3216）</w:t>
            </w:r>
          </w:p>
        </w:tc>
        <w:tc>
          <w:tcPr>
            <w:tcW w:w="3475" w:type="dxa"/>
            <w:gridSpan w:val="2"/>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电解铝</w:t>
            </w:r>
          </w:p>
        </w:tc>
        <w:tc>
          <w:tcPr>
            <w:tcW w:w="1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铝液交流电耗</w:t>
            </w:r>
          </w:p>
        </w:tc>
        <w:tc>
          <w:tcPr>
            <w:tcW w:w="1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千瓦时/吨</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13000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13175 </w:t>
            </w:r>
          </w:p>
        </w:tc>
        <w:tc>
          <w:tcPr>
            <w:tcW w:w="1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GB 21346</w:t>
            </w: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氧化铝</w:t>
            </w: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拜耳法</w:t>
            </w:r>
          </w:p>
        </w:tc>
        <w:tc>
          <w:tcPr>
            <w:tcW w:w="16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单位产品</w:t>
            </w:r>
            <w:r>
              <w:rPr>
                <w:rFonts w:hint="eastAsia" w:ascii="仿宋_GB2312" w:hAnsi="等线" w:eastAsia="仿宋_GB2312" w:cs="仿宋_GB2312"/>
                <w:color w:val="000000"/>
                <w:kern w:val="0"/>
                <w:sz w:val="20"/>
                <w:szCs w:val="20"/>
                <w:lang w:bidi="ar"/>
              </w:rPr>
              <w:br w:type="textWrapping"/>
            </w:r>
            <w:r>
              <w:rPr>
                <w:rFonts w:hint="eastAsia" w:ascii="仿宋_GB2312" w:hAnsi="等线" w:eastAsia="仿宋_GB2312" w:cs="仿宋_GB2312"/>
                <w:color w:val="000000"/>
                <w:kern w:val="0"/>
                <w:sz w:val="20"/>
                <w:szCs w:val="20"/>
                <w:lang w:bidi="ar"/>
              </w:rPr>
              <w:t>综合能耗</w:t>
            </w:r>
          </w:p>
        </w:tc>
        <w:tc>
          <w:tcPr>
            <w:tcW w:w="15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千克标准煤/吨</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360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390 </w:t>
            </w:r>
          </w:p>
        </w:tc>
        <w:tc>
          <w:tcPr>
            <w:tcW w:w="1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GB 21346</w:t>
            </w: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其他工艺</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550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 xml:space="preserve">600 </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1220" w:hRule="atLeast"/>
          <w:jc w:val="center"/>
        </w:trPr>
        <w:tc>
          <w:tcPr>
            <w:tcW w:w="7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7</w:t>
            </w:r>
          </w:p>
        </w:tc>
        <w:tc>
          <w:tcPr>
            <w:tcW w:w="122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金属制品业（33）</w:t>
            </w:r>
          </w:p>
        </w:tc>
        <w:tc>
          <w:tcPr>
            <w:tcW w:w="12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铸造及其他金属制品制造（339）</w:t>
            </w:r>
          </w:p>
        </w:tc>
        <w:tc>
          <w:tcPr>
            <w:tcW w:w="12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黑色金属铸造（3391）</w:t>
            </w:r>
            <w:r>
              <w:rPr>
                <w:rFonts w:hint="eastAsia" w:ascii="仿宋_GB2312" w:hAnsi="等线" w:eastAsia="仿宋_GB2312" w:cs="仿宋_GB2312"/>
                <w:color w:val="000000"/>
                <w:kern w:val="0"/>
                <w:sz w:val="20"/>
                <w:szCs w:val="20"/>
                <w:lang w:bidi="ar"/>
              </w:rPr>
              <w:br w:type="textWrapping"/>
            </w:r>
            <w:r>
              <w:rPr>
                <w:rFonts w:hint="eastAsia" w:ascii="仿宋_GB2312" w:hAnsi="等线" w:eastAsia="仿宋_GB2312" w:cs="仿宋_GB2312"/>
                <w:color w:val="000000"/>
                <w:kern w:val="0"/>
                <w:sz w:val="20"/>
                <w:szCs w:val="20"/>
                <w:lang w:bidi="ar"/>
              </w:rPr>
              <w:t>有色金属铸造（3392）</w:t>
            </w:r>
          </w:p>
        </w:tc>
        <w:tc>
          <w:tcPr>
            <w:tcW w:w="34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铸造（企业无高炉装置）</w:t>
            </w:r>
          </w:p>
        </w:tc>
        <w:tc>
          <w:tcPr>
            <w:tcW w:w="1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万元产值能耗</w:t>
            </w:r>
          </w:p>
        </w:tc>
        <w:tc>
          <w:tcPr>
            <w:tcW w:w="1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千克标准煤/万元</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175</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220</w:t>
            </w:r>
          </w:p>
        </w:tc>
        <w:tc>
          <w:tcPr>
            <w:tcW w:w="1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w:t>
            </w:r>
          </w:p>
        </w:tc>
      </w:tr>
      <w:tr>
        <w:tblPrEx>
          <w:tblCellMar>
            <w:top w:w="0" w:type="dxa"/>
            <w:left w:w="0" w:type="dxa"/>
            <w:bottom w:w="0" w:type="dxa"/>
            <w:right w:w="0" w:type="dxa"/>
          </w:tblCellMar>
        </w:tblPrEx>
        <w:trPr>
          <w:trHeight w:val="122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34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铸造（企业有高炉装置）</w:t>
            </w:r>
          </w:p>
        </w:tc>
        <w:tc>
          <w:tcPr>
            <w:tcW w:w="1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万元产值能耗</w:t>
            </w:r>
          </w:p>
        </w:tc>
        <w:tc>
          <w:tcPr>
            <w:tcW w:w="15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千克标准煤/万元</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1362</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1554</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8</w:t>
            </w:r>
          </w:p>
        </w:tc>
        <w:tc>
          <w:tcPr>
            <w:tcW w:w="122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电力、热力生产和供应业（44）</w:t>
            </w:r>
          </w:p>
        </w:tc>
        <w:tc>
          <w:tcPr>
            <w:tcW w:w="120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电力生产（441）、热力生产和供应（443）</w:t>
            </w:r>
          </w:p>
        </w:tc>
        <w:tc>
          <w:tcPr>
            <w:tcW w:w="12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火力发电（4411）、热电联产（4412）、热力生产和供应（4430）</w:t>
            </w:r>
          </w:p>
        </w:tc>
        <w:tc>
          <w:tcPr>
            <w:tcW w:w="13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煤电</w:t>
            </w:r>
            <w:r>
              <w:rPr>
                <w:rFonts w:hint="eastAsia" w:ascii="仿宋_GB2312" w:hAnsi="等线" w:eastAsia="仿宋_GB2312" w:cs="仿宋_GB2312"/>
                <w:color w:val="000000"/>
                <w:kern w:val="0"/>
                <w:sz w:val="20"/>
                <w:szCs w:val="20"/>
                <w:lang w:bidi="ar"/>
              </w:rPr>
              <w:br w:type="textWrapping"/>
            </w:r>
            <w:r>
              <w:rPr>
                <w:rFonts w:hint="eastAsia" w:ascii="仿宋_GB2312" w:hAnsi="等线" w:eastAsia="仿宋_GB2312" w:cs="仿宋_GB2312"/>
                <w:color w:val="000000"/>
                <w:kern w:val="0"/>
                <w:sz w:val="20"/>
                <w:szCs w:val="20"/>
                <w:lang w:bidi="ar"/>
              </w:rPr>
              <w:t>(湿冷机组）</w:t>
            </w: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超超临界（1000MW）</w:t>
            </w:r>
          </w:p>
        </w:tc>
        <w:tc>
          <w:tcPr>
            <w:tcW w:w="164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供电煤耗</w:t>
            </w:r>
          </w:p>
        </w:tc>
        <w:tc>
          <w:tcPr>
            <w:tcW w:w="15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克标准煤/千瓦时</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273</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279</w:t>
            </w:r>
          </w:p>
        </w:tc>
        <w:tc>
          <w:tcPr>
            <w:tcW w:w="1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GB 21258</w:t>
            </w:r>
            <w:r>
              <w:rPr>
                <w:rFonts w:hint="eastAsia" w:ascii="仿宋_GB2312" w:hAnsi="等线" w:eastAsia="仿宋_GB2312" w:cs="仿宋_GB2312"/>
                <w:color w:val="000000"/>
                <w:kern w:val="0"/>
                <w:sz w:val="20"/>
                <w:szCs w:val="20"/>
                <w:lang w:bidi="ar"/>
              </w:rPr>
              <w:br w:type="textWrapping"/>
            </w:r>
            <w:r>
              <w:rPr>
                <w:rFonts w:hint="eastAsia" w:ascii="仿宋_GB2312" w:hAnsi="等线" w:eastAsia="仿宋_GB2312" w:cs="仿宋_GB2312"/>
                <w:color w:val="000000"/>
                <w:kern w:val="0"/>
                <w:sz w:val="20"/>
                <w:szCs w:val="20"/>
                <w:lang w:bidi="ar"/>
              </w:rPr>
              <w:t>DB 37/737</w:t>
            </w:r>
            <w:r>
              <w:rPr>
                <w:rFonts w:hint="eastAsia" w:ascii="仿宋_GB2312" w:hAnsi="等线" w:eastAsia="仿宋_GB2312" w:cs="仿宋_GB2312"/>
                <w:color w:val="000000"/>
                <w:kern w:val="0"/>
                <w:sz w:val="20"/>
                <w:szCs w:val="20"/>
                <w:lang w:bidi="ar"/>
              </w:rPr>
              <w:br w:type="textWrapping"/>
            </w:r>
            <w:r>
              <w:rPr>
                <w:rFonts w:hint="eastAsia" w:ascii="仿宋_GB2312" w:hAnsi="等线" w:eastAsia="仿宋_GB2312" w:cs="仿宋_GB2312"/>
                <w:color w:val="000000"/>
                <w:kern w:val="0"/>
                <w:sz w:val="20"/>
                <w:szCs w:val="20"/>
                <w:lang w:bidi="ar"/>
              </w:rPr>
              <w:t>注：1.基准水平值需根据GB 21258中修正系数进行修正；</w:t>
            </w:r>
            <w:r>
              <w:rPr>
                <w:rFonts w:hint="eastAsia" w:ascii="仿宋_GB2312" w:hAnsi="等线" w:eastAsia="仿宋_GB2312" w:cs="仿宋_GB2312"/>
                <w:color w:val="000000"/>
                <w:kern w:val="0"/>
                <w:sz w:val="20"/>
                <w:szCs w:val="20"/>
                <w:lang w:bidi="ar"/>
              </w:rPr>
              <w:br w:type="textWrapping"/>
            </w:r>
            <w:r>
              <w:rPr>
                <w:rFonts w:hint="eastAsia" w:ascii="仿宋_GB2312" w:hAnsi="等线" w:eastAsia="仿宋_GB2312" w:cs="仿宋_GB2312"/>
                <w:color w:val="000000"/>
                <w:kern w:val="0"/>
                <w:sz w:val="20"/>
                <w:szCs w:val="20"/>
                <w:lang w:bidi="ar"/>
              </w:rPr>
              <w:t>2.未列出的机组容量级别，参照低一档容量级别限额。</w:t>
            </w: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超超临界（600MW）</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276</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284.5</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超临界（600MW）</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294</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297</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超临界（300MW）</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299</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303.5</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亚临界（600MW）</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302</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308</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亚临界（300MW）</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311</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317</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82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超高压（200，125MW）</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300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320</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3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≤100MW</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300</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326</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0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2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34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煤电（空冷机组、循环流化床机组）</w:t>
            </w:r>
          </w:p>
        </w:tc>
        <w:tc>
          <w:tcPr>
            <w:tcW w:w="1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15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c>
          <w:tcPr>
            <w:tcW w:w="213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等线" w:eastAsia="仿宋_GB2312" w:cs="仿宋_GB2312"/>
                <w:color w:val="000000"/>
                <w:sz w:val="20"/>
                <w:szCs w:val="20"/>
              </w:rPr>
            </w:pPr>
            <w:r>
              <w:rPr>
                <w:rFonts w:hint="eastAsia" w:ascii="仿宋_GB2312" w:hAnsi="等线" w:eastAsia="仿宋_GB2312" w:cs="仿宋_GB2312"/>
                <w:color w:val="000000"/>
                <w:kern w:val="0"/>
                <w:sz w:val="20"/>
                <w:szCs w:val="20"/>
                <w:lang w:bidi="ar"/>
              </w:rPr>
              <w:t>湿冷+15</w:t>
            </w:r>
          </w:p>
        </w:tc>
        <w:tc>
          <w:tcPr>
            <w:tcW w:w="1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等线" w:eastAsia="仿宋_GB2312" w:cs="仿宋_GB2312"/>
                <w:color w:val="000000"/>
                <w:sz w:val="20"/>
                <w:szCs w:val="20"/>
              </w:rPr>
            </w:pPr>
          </w:p>
        </w:tc>
      </w:tr>
      <w:tr>
        <w:tblPrEx>
          <w:tblCellMar>
            <w:top w:w="0" w:type="dxa"/>
            <w:left w:w="0" w:type="dxa"/>
            <w:bottom w:w="0" w:type="dxa"/>
            <w:right w:w="0" w:type="dxa"/>
          </w:tblCellMar>
        </w:tblPrEx>
        <w:trPr>
          <w:trHeight w:val="600" w:hRule="atLeast"/>
          <w:jc w:val="center"/>
        </w:trPr>
        <w:tc>
          <w:tcPr>
            <w:tcW w:w="14790" w:type="dxa"/>
            <w:gridSpan w:val="11"/>
            <w:tcBorders>
              <w:top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注：1.各领域标杆水平和基准水平主要参考国家《高耗能行业重点领域能效标杆水平和基准水平（2021版）》以及国家、山东省现行单位产品能耗限额标准的先进值、准入值和限定值，根据山东省行业实际、发展预期、生产装置整体能效等水平确定。统计单位、计算方法等参考相应标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    2.表中的高耗能行业重点领域范围和标杆水平、基准水平，视国家和山东省相关文件规定、山东省行业发展情况以及国家和山东省单位产品能耗限额标准制修订情况进行补充完善及动态调整。</w:t>
            </w:r>
          </w:p>
          <w:p>
            <w:pPr>
              <w:widowControl/>
              <w:ind w:firstLine="39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3.沥青防水材料和醋酸不</w:t>
            </w:r>
            <w:r>
              <w:rPr>
                <w:rFonts w:hint="eastAsia" w:ascii="宋体" w:hAnsi="宋体" w:cs="宋体"/>
                <w:color w:val="000000"/>
                <w:kern w:val="0"/>
                <w:sz w:val="20"/>
                <w:szCs w:val="20"/>
                <w:lang w:eastAsia="zh-CN" w:bidi="ar"/>
              </w:rPr>
              <w:t>再</w:t>
            </w:r>
            <w:r>
              <w:rPr>
                <w:rFonts w:hint="eastAsia" w:ascii="宋体" w:hAnsi="宋体" w:cs="宋体"/>
                <w:color w:val="000000"/>
                <w:kern w:val="0"/>
                <w:sz w:val="20"/>
                <w:szCs w:val="20"/>
                <w:lang w:bidi="ar"/>
              </w:rPr>
              <w:t>作为“两高”项目，但应当按照上述标准进行能效改造提升。</w:t>
            </w:r>
          </w:p>
          <w:p>
            <w:pPr>
              <w:jc w:val="both"/>
              <w:rPr>
                <w:rFonts w:hint="eastAsia" w:ascii="仿宋_GB2312" w:hAnsi="等线" w:eastAsia="仿宋_GB2312" w:cs="仿宋_GB2312"/>
                <w:color w:val="000000"/>
                <w:sz w:val="20"/>
                <w:szCs w:val="20"/>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YmI2YzQ0MTY3Y2Y2YTQ3ZTEyY2VlNWY3ZWE5YjEifQ=="/>
  </w:docVars>
  <w:rsids>
    <w:rsidRoot w:val="51EC1DFB"/>
    <w:rsid w:val="51EC1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2023-01-31T07:25:00Z</dcterms:created>
  <dc:creator>美女的爸爸</dc:creator>
  <cp:lastModifiedBy>美女的爸爸</cp:lastModifiedBy>
  <dcterms:modified xsi:type="dcterms:W3CDTF">2023-01-31T07:26:21Z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866101CC0ABC40EFBB0036EE5D6902AD</vt:lpwstr>
  </property>
</Properties>
</file>